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4C5B3" w14:textId="00E2CB3A" w:rsidR="00B60868" w:rsidRPr="00A7366F" w:rsidRDefault="00B60868" w:rsidP="00B60868">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 xml:space="preserve">3GPP TSG-RAN WG4 Meeting #94-e-Bis                       </w:t>
      </w:r>
      <w:r w:rsidRPr="00A7366F">
        <w:rPr>
          <w:rFonts w:ascii="Calibri" w:eastAsia="PMingLiU" w:hAnsi="Calibri" w:cs="Calibri"/>
          <w:sz w:val="24"/>
          <w:szCs w:val="24"/>
          <w:lang w:eastAsia="ja-JP"/>
        </w:rPr>
        <w:tab/>
        <w:t xml:space="preserve"> R4-200</w:t>
      </w:r>
      <w:r w:rsidR="00E85A14">
        <w:rPr>
          <w:rFonts w:ascii="Calibri" w:eastAsia="PMingLiU" w:hAnsi="Calibri" w:cs="Calibri"/>
          <w:sz w:val="24"/>
          <w:szCs w:val="24"/>
          <w:lang w:eastAsia="ja-JP"/>
        </w:rPr>
        <w:t>3506</w:t>
      </w:r>
      <w:bookmarkStart w:id="0" w:name="_GoBack"/>
      <w:bookmarkEnd w:id="0"/>
    </w:p>
    <w:p w14:paraId="2D914523" w14:textId="77777777" w:rsidR="00B60868" w:rsidRPr="00A7366F" w:rsidRDefault="00B60868" w:rsidP="00B60868">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20</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30 Apr., 2020</w:t>
      </w:r>
    </w:p>
    <w:p w14:paraId="0426E601" w14:textId="77777777" w:rsidR="002E58D2" w:rsidRPr="008446F7" w:rsidRDefault="002E58D2" w:rsidP="002E58D2">
      <w:pPr>
        <w:pStyle w:val="a5"/>
        <w:rPr>
          <w:rFonts w:ascii="Calibri" w:eastAsia="PMingLiU" w:hAnsi="Calibri"/>
          <w:sz w:val="24"/>
          <w:highlight w:val="yellow"/>
          <w:lang w:eastAsia="zh-TW"/>
        </w:rPr>
      </w:pPr>
    </w:p>
    <w:p w14:paraId="6352570E" w14:textId="049D6B3F" w:rsidR="00FB1EA3" w:rsidRPr="00F52EE4" w:rsidRDefault="00FB1EA3" w:rsidP="00FB1EA3">
      <w:pPr>
        <w:ind w:left="1985" w:hanging="1985"/>
        <w:rPr>
          <w:rFonts w:cs="Arial"/>
          <w:b/>
          <w:bCs/>
        </w:rPr>
      </w:pPr>
      <w:r w:rsidRPr="00B60868">
        <w:rPr>
          <w:rFonts w:cs="Arial"/>
          <w:b/>
          <w:bCs/>
        </w:rPr>
        <w:t>Agenda Item:</w:t>
      </w:r>
      <w:r w:rsidRPr="00B60868">
        <w:rPr>
          <w:rFonts w:cs="Arial"/>
          <w:b/>
          <w:bCs/>
        </w:rPr>
        <w:tab/>
      </w:r>
      <w:r w:rsidR="0001556B" w:rsidRPr="00B60868">
        <w:rPr>
          <w:rFonts w:cs="Arial"/>
          <w:b/>
          <w:bCs/>
        </w:rPr>
        <w:t>13.2.4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AF124AE" w:rsidR="00174EC2" w:rsidRDefault="0034111C" w:rsidP="007A4FCF">
      <w:pPr>
        <w:ind w:left="1985" w:hanging="1985"/>
        <w:rPr>
          <w:rFonts w:cs="Arial"/>
          <w:b/>
          <w:bCs/>
        </w:rPr>
      </w:pPr>
      <w:r w:rsidRPr="000C45FD">
        <w:rPr>
          <w:rFonts w:cs="Arial"/>
          <w:b/>
          <w:bCs/>
        </w:rPr>
        <w:t>Title:</w:t>
      </w:r>
      <w:r w:rsidRPr="000C45FD">
        <w:rPr>
          <w:rFonts w:cs="Arial"/>
          <w:b/>
          <w:bCs/>
        </w:rPr>
        <w:tab/>
      </w:r>
      <w:r w:rsidR="0001556B" w:rsidRPr="0001556B">
        <w:rPr>
          <w:rFonts w:cs="Arial"/>
          <w:b/>
          <w:bCs/>
        </w:rPr>
        <w:t xml:space="preserve">Motivation to introduce new R17 WI on </w:t>
      </w:r>
      <w:r w:rsidR="0001556B">
        <w:rPr>
          <w:rFonts w:cs="Arial"/>
          <w:b/>
          <w:bCs/>
        </w:rPr>
        <w:t>further RRM enhancement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29E1933A" w14:textId="01547210" w:rsidR="00595AA2" w:rsidRPr="006D696C" w:rsidRDefault="00595AA2" w:rsidP="00595AA2">
      <w:pPr>
        <w:pStyle w:val="af0"/>
        <w:jc w:val="both"/>
        <w:rPr>
          <w:b w:val="0"/>
        </w:rPr>
      </w:pPr>
      <w:r w:rsidRPr="006D696C">
        <w:rPr>
          <w:b w:val="0"/>
        </w:rPr>
        <w:t>The baseline NR RRM requirements have been introduced in Rel-15. Due to the limited time</w:t>
      </w:r>
      <w:r w:rsidR="000C71D2" w:rsidRPr="006D696C">
        <w:rPr>
          <w:b w:val="0"/>
        </w:rPr>
        <w:t xml:space="preserve"> and RAN4 RRM session capacity</w:t>
      </w:r>
      <w:r w:rsidRPr="006D696C">
        <w:rPr>
          <w:b w:val="0"/>
        </w:rPr>
        <w:t xml:space="preserve">, </w:t>
      </w:r>
      <w:r w:rsidR="000C71D2" w:rsidRPr="006D696C">
        <w:rPr>
          <w:b w:val="0"/>
        </w:rPr>
        <w:t xml:space="preserve">RAN4 accepted the worst case requirement without considering further possibility of enhancement and also listed some </w:t>
      </w:r>
      <w:r w:rsidRPr="006D696C">
        <w:rPr>
          <w:b w:val="0"/>
        </w:rPr>
        <w:t xml:space="preserve">leftovers </w:t>
      </w:r>
      <w:r w:rsidR="000C71D2" w:rsidRPr="006D696C">
        <w:rPr>
          <w:b w:val="0"/>
        </w:rPr>
        <w:t xml:space="preserve">that </w:t>
      </w:r>
      <w:r w:rsidRPr="006D696C">
        <w:rPr>
          <w:b w:val="0"/>
        </w:rPr>
        <w:t xml:space="preserve">were </w:t>
      </w:r>
      <w:r w:rsidR="000C71D2" w:rsidRPr="006D696C">
        <w:rPr>
          <w:b w:val="0"/>
        </w:rPr>
        <w:t xml:space="preserve">not </w:t>
      </w:r>
      <w:r w:rsidRPr="006D696C">
        <w:rPr>
          <w:b w:val="0"/>
        </w:rPr>
        <w:t xml:space="preserve">discussed in </w:t>
      </w:r>
      <w:r w:rsidR="000C71D2" w:rsidRPr="006D696C">
        <w:rPr>
          <w:b w:val="0"/>
        </w:rPr>
        <w:t xml:space="preserve">Rel-15 time frame. Some leftover requirements are later captured in a </w:t>
      </w:r>
      <w:r w:rsidRPr="006D696C">
        <w:rPr>
          <w:b w:val="0"/>
        </w:rPr>
        <w:t xml:space="preserve">Rel-16 </w:t>
      </w:r>
      <w:r w:rsidR="000C71D2" w:rsidRPr="006D696C">
        <w:rPr>
          <w:b w:val="0"/>
        </w:rPr>
        <w:t xml:space="preserve">RRM enhancement </w:t>
      </w:r>
      <w:r w:rsidRPr="006D696C">
        <w:rPr>
          <w:b w:val="0"/>
        </w:rPr>
        <w:t>WI [1]</w:t>
      </w:r>
      <w:r w:rsidR="000C71D2" w:rsidRPr="006D696C">
        <w:rPr>
          <w:b w:val="0"/>
        </w:rPr>
        <w:t xml:space="preserve">, but some are not. In order to catch up those unaddressed RRM requirements </w:t>
      </w:r>
      <w:r w:rsidR="009B0081" w:rsidRPr="006D696C">
        <w:rPr>
          <w:b w:val="0"/>
        </w:rPr>
        <w:t>as well as further optimize some RRM functions, it is suggested to consider some further enhancement on RRM requirements in Rel-17 time frame.</w:t>
      </w:r>
    </w:p>
    <w:p w14:paraId="2F103EB5" w14:textId="4D16A678" w:rsidR="00AD2CAD" w:rsidRPr="006D696C" w:rsidRDefault="009B0081" w:rsidP="009B0081">
      <w:pPr>
        <w:rPr>
          <w:sz w:val="20"/>
          <w:szCs w:val="20"/>
        </w:rPr>
      </w:pPr>
      <w:r w:rsidRPr="006D696C">
        <w:rPr>
          <w:sz w:val="20"/>
          <w:szCs w:val="20"/>
          <w:lang w:val="x-none" w:eastAsia="x-none"/>
        </w:rPr>
        <w:t>In this contribution, we first provide the justification on the proposed new WI for further RRM enhancement, followed by the new WI scope.</w:t>
      </w:r>
    </w:p>
    <w:p w14:paraId="15570B2A" w14:textId="54018410" w:rsidR="00486D1A" w:rsidRDefault="009B0081" w:rsidP="0001556B">
      <w:pPr>
        <w:pStyle w:val="1"/>
        <w:numPr>
          <w:ilvl w:val="0"/>
          <w:numId w:val="1"/>
        </w:numPr>
        <w:rPr>
          <w:rFonts w:ascii="Calibri" w:hAnsi="Calibri"/>
        </w:rPr>
      </w:pPr>
      <w:r>
        <w:rPr>
          <w:rFonts w:ascii="Calibri" w:hAnsi="Calibri"/>
        </w:rPr>
        <w:t>Justifications</w:t>
      </w:r>
    </w:p>
    <w:p w14:paraId="7A5D7127" w14:textId="00B2E366" w:rsidR="007C40CD" w:rsidRDefault="009B0081" w:rsidP="009B0081">
      <w:pPr>
        <w:pStyle w:val="2"/>
      </w:pPr>
      <w:r>
        <w:t xml:space="preserve">2.1 </w:t>
      </w:r>
      <w:r w:rsidR="00B60868">
        <w:t xml:space="preserve">Active </w:t>
      </w:r>
      <w:r w:rsidR="000D327D">
        <w:t xml:space="preserve">TCI-state switch for CSI reporting via </w:t>
      </w:r>
      <w:r>
        <w:t xml:space="preserve">CSI-RS </w:t>
      </w:r>
      <w:r w:rsidR="000D327D">
        <w:t xml:space="preserve">reconfiguration </w:t>
      </w:r>
    </w:p>
    <w:p w14:paraId="6D03FD88" w14:textId="2B363FCF" w:rsidR="00912761" w:rsidRPr="006D696C" w:rsidRDefault="00EB42E0" w:rsidP="00EB42E0">
      <w:pPr>
        <w:jc w:val="both"/>
        <w:rPr>
          <w:sz w:val="20"/>
          <w:szCs w:val="20"/>
          <w:lang w:val="en-GB" w:eastAsia="en-US"/>
        </w:rPr>
      </w:pPr>
      <w:r w:rsidRPr="006D696C">
        <w:rPr>
          <w:sz w:val="20"/>
          <w:szCs w:val="20"/>
          <w:lang w:val="en-GB" w:eastAsia="en-US"/>
        </w:rPr>
        <w:t xml:space="preserve">The whole Rel-15 TCI-state mechanism was designed in RAN1, covering different physical channels and reference signals. In Rel-15, RAN4 has specified the TCI-state switch requirements for PDCCH and PDSCH, triggered </w:t>
      </w:r>
      <w:r w:rsidR="00CD13A7" w:rsidRPr="006D696C">
        <w:rPr>
          <w:sz w:val="20"/>
          <w:szCs w:val="20"/>
          <w:lang w:val="en-GB" w:eastAsia="en-US"/>
        </w:rPr>
        <w:t>by</w:t>
      </w:r>
      <w:r w:rsidRPr="006D696C">
        <w:rPr>
          <w:sz w:val="20"/>
          <w:szCs w:val="20"/>
          <w:lang w:val="en-GB" w:eastAsia="en-US"/>
        </w:rPr>
        <w:t xml:space="preserve"> </w:t>
      </w:r>
      <w:r w:rsidR="00BD0609">
        <w:rPr>
          <w:sz w:val="20"/>
          <w:szCs w:val="20"/>
          <w:lang w:val="en-GB" w:eastAsia="en-US"/>
        </w:rPr>
        <w:t xml:space="preserve">either </w:t>
      </w:r>
      <w:r w:rsidRPr="006D696C">
        <w:rPr>
          <w:sz w:val="20"/>
          <w:szCs w:val="20"/>
          <w:lang w:val="en-GB" w:eastAsia="en-US"/>
        </w:rPr>
        <w:t xml:space="preserve">RRC, MAC or DCI. However, </w:t>
      </w:r>
      <w:r w:rsidR="00580A8D" w:rsidRPr="006D696C">
        <w:rPr>
          <w:sz w:val="20"/>
          <w:szCs w:val="20"/>
          <w:lang w:val="en-GB" w:eastAsia="en-US"/>
        </w:rPr>
        <w:t xml:space="preserve">the </w:t>
      </w:r>
      <w:r w:rsidR="00B60868">
        <w:rPr>
          <w:sz w:val="20"/>
          <w:szCs w:val="20"/>
          <w:lang w:val="en-GB" w:eastAsia="en-US"/>
        </w:rPr>
        <w:t xml:space="preserve">active </w:t>
      </w:r>
      <w:r w:rsidR="00580A8D" w:rsidRPr="006D696C">
        <w:rPr>
          <w:sz w:val="20"/>
          <w:szCs w:val="20"/>
          <w:lang w:val="en-GB" w:eastAsia="en-US"/>
        </w:rPr>
        <w:t xml:space="preserve">TCI-state switch requirements </w:t>
      </w:r>
      <w:r w:rsidRPr="006D696C">
        <w:rPr>
          <w:sz w:val="20"/>
          <w:szCs w:val="20"/>
          <w:lang w:val="en-GB" w:eastAsia="en-US"/>
        </w:rPr>
        <w:t xml:space="preserve">for CSI reporting </w:t>
      </w:r>
      <w:r w:rsidR="00B60868">
        <w:rPr>
          <w:sz w:val="20"/>
          <w:szCs w:val="20"/>
          <w:lang w:val="en-GB" w:eastAsia="en-US"/>
        </w:rPr>
        <w:t>via</w:t>
      </w:r>
      <w:r w:rsidR="00B60868" w:rsidRPr="006D696C">
        <w:rPr>
          <w:sz w:val="20"/>
          <w:szCs w:val="20"/>
          <w:lang w:val="en-GB" w:eastAsia="en-US"/>
        </w:rPr>
        <w:t xml:space="preserve"> CSI-RS </w:t>
      </w:r>
      <w:r w:rsidR="001232F5">
        <w:rPr>
          <w:sz w:val="20"/>
          <w:szCs w:val="20"/>
          <w:lang w:val="en-GB" w:eastAsia="en-US"/>
        </w:rPr>
        <w:t xml:space="preserve">reconfiguration </w:t>
      </w:r>
      <w:r w:rsidRPr="006D696C">
        <w:rPr>
          <w:sz w:val="20"/>
          <w:szCs w:val="20"/>
          <w:lang w:val="en-GB" w:eastAsia="en-US"/>
        </w:rPr>
        <w:t xml:space="preserve">was not considered </w:t>
      </w:r>
      <w:r w:rsidR="00F42A84">
        <w:rPr>
          <w:sz w:val="20"/>
          <w:szCs w:val="20"/>
          <w:lang w:val="en-GB" w:eastAsia="en-US"/>
        </w:rPr>
        <w:t>n</w:t>
      </w:r>
      <w:r w:rsidR="00105738">
        <w:rPr>
          <w:sz w:val="20"/>
          <w:szCs w:val="20"/>
          <w:lang w:val="en-GB" w:eastAsia="en-US"/>
        </w:rPr>
        <w:t xml:space="preserve">either </w:t>
      </w:r>
      <w:r w:rsidRPr="006D696C">
        <w:rPr>
          <w:sz w:val="20"/>
          <w:szCs w:val="20"/>
          <w:lang w:val="en-GB" w:eastAsia="en-US"/>
        </w:rPr>
        <w:t xml:space="preserve">in Rel-15 time frame </w:t>
      </w:r>
      <w:r w:rsidR="005175DE">
        <w:rPr>
          <w:sz w:val="20"/>
          <w:szCs w:val="20"/>
          <w:lang w:val="en-GB" w:eastAsia="en-US"/>
        </w:rPr>
        <w:t>n</w:t>
      </w:r>
      <w:r w:rsidRPr="006D696C">
        <w:rPr>
          <w:sz w:val="20"/>
          <w:szCs w:val="20"/>
          <w:lang w:val="en-GB" w:eastAsia="en-US"/>
        </w:rPr>
        <w:t xml:space="preserve">or even in Rel-16 RRM enhancement WI [1]. </w:t>
      </w:r>
    </w:p>
    <w:p w14:paraId="7D34A49C" w14:textId="4FB8D507" w:rsidR="00D5310D" w:rsidRPr="006D696C" w:rsidRDefault="00EB42E0" w:rsidP="00EB42E0">
      <w:pPr>
        <w:jc w:val="both"/>
        <w:rPr>
          <w:sz w:val="20"/>
          <w:szCs w:val="20"/>
          <w:lang w:val="en-GB" w:eastAsia="en-US"/>
        </w:rPr>
      </w:pPr>
      <w:r w:rsidRPr="006D696C">
        <w:rPr>
          <w:sz w:val="20"/>
          <w:szCs w:val="20"/>
          <w:lang w:val="en-GB" w:eastAsia="en-US"/>
        </w:rPr>
        <w:t xml:space="preserve">The lack of the requirement would create </w:t>
      </w:r>
      <w:r w:rsidR="00912761" w:rsidRPr="006D696C">
        <w:rPr>
          <w:sz w:val="20"/>
          <w:szCs w:val="20"/>
          <w:lang w:val="en-GB" w:eastAsia="en-US"/>
        </w:rPr>
        <w:t xml:space="preserve">some problem in real network deployment, as illustrated in </w:t>
      </w:r>
      <w:r w:rsidR="00912761" w:rsidRPr="006D696C">
        <w:rPr>
          <w:sz w:val="20"/>
          <w:szCs w:val="20"/>
          <w:lang w:val="en-GB" w:eastAsia="en-US"/>
        </w:rPr>
        <w:fldChar w:fldCharType="begin"/>
      </w:r>
      <w:r w:rsidR="00912761" w:rsidRPr="006D696C">
        <w:rPr>
          <w:sz w:val="20"/>
          <w:szCs w:val="20"/>
          <w:lang w:val="en-GB" w:eastAsia="en-US"/>
        </w:rPr>
        <w:instrText xml:space="preserve"> REF _Ref31807125 \h </w:instrText>
      </w:r>
      <w:r w:rsidR="006D696C">
        <w:rPr>
          <w:sz w:val="20"/>
          <w:szCs w:val="20"/>
          <w:lang w:val="en-GB" w:eastAsia="en-US"/>
        </w:rPr>
        <w:instrText xml:space="preserve"> \* MERGEFORMAT </w:instrText>
      </w:r>
      <w:r w:rsidR="00912761" w:rsidRPr="006D696C">
        <w:rPr>
          <w:sz w:val="20"/>
          <w:szCs w:val="20"/>
          <w:lang w:val="en-GB" w:eastAsia="en-US"/>
        </w:rPr>
      </w:r>
      <w:r w:rsidR="00912761" w:rsidRPr="006D696C">
        <w:rPr>
          <w:sz w:val="20"/>
          <w:szCs w:val="20"/>
          <w:lang w:val="en-GB" w:eastAsia="en-US"/>
        </w:rPr>
        <w:fldChar w:fldCharType="separate"/>
      </w:r>
      <w:r w:rsidR="00451134" w:rsidRPr="00451134">
        <w:rPr>
          <w:sz w:val="20"/>
          <w:szCs w:val="20"/>
        </w:rPr>
        <w:t xml:space="preserve">Figure </w:t>
      </w:r>
      <w:r w:rsidR="00451134" w:rsidRPr="00451134">
        <w:rPr>
          <w:noProof/>
          <w:sz w:val="20"/>
          <w:szCs w:val="20"/>
        </w:rPr>
        <w:t>1</w:t>
      </w:r>
      <w:r w:rsidR="00912761" w:rsidRPr="006D696C">
        <w:rPr>
          <w:sz w:val="20"/>
          <w:szCs w:val="20"/>
          <w:lang w:val="en-GB" w:eastAsia="en-US"/>
        </w:rPr>
        <w:fldChar w:fldCharType="end"/>
      </w:r>
      <w:r w:rsidR="00912761" w:rsidRPr="006D696C">
        <w:rPr>
          <w:sz w:val="20"/>
          <w:szCs w:val="20"/>
          <w:lang w:val="en-GB" w:eastAsia="en-US"/>
        </w:rPr>
        <w:t>.</w:t>
      </w:r>
      <w:r w:rsidR="00596C6D" w:rsidRPr="006D696C">
        <w:rPr>
          <w:sz w:val="20"/>
          <w:szCs w:val="20"/>
          <w:lang w:val="en-GB" w:eastAsia="en-US"/>
        </w:rPr>
        <w:t xml:space="preserve"> UE was under the coverage of Tx beam #0 of gNB and configured with TCI-state #0 for PDCCH, PDSCH and CSI-RS. Once UE move</w:t>
      </w:r>
      <w:r w:rsidR="005B598B" w:rsidRPr="006D696C">
        <w:rPr>
          <w:sz w:val="20"/>
          <w:szCs w:val="20"/>
          <w:lang w:val="en-GB" w:eastAsia="en-US"/>
        </w:rPr>
        <w:t>s</w:t>
      </w:r>
      <w:r w:rsidR="00596C6D" w:rsidRPr="006D696C">
        <w:rPr>
          <w:sz w:val="20"/>
          <w:szCs w:val="20"/>
          <w:lang w:val="en-GB" w:eastAsia="en-US"/>
        </w:rPr>
        <w:t xml:space="preserve"> to the coverage of Tx beam #1, </w:t>
      </w:r>
      <w:r w:rsidR="005B598B" w:rsidRPr="006D696C">
        <w:rPr>
          <w:sz w:val="20"/>
          <w:szCs w:val="20"/>
          <w:lang w:val="en-GB" w:eastAsia="en-US"/>
        </w:rPr>
        <w:t>n</w:t>
      </w:r>
      <w:r w:rsidR="00596C6D" w:rsidRPr="006D696C">
        <w:rPr>
          <w:sz w:val="20"/>
          <w:szCs w:val="20"/>
          <w:lang w:val="en-GB" w:eastAsia="en-US"/>
        </w:rPr>
        <w:t>etwork has to trigger TCI-state switch to TCI-state #1 for PDCCH, PDSCH and CSI-RS. The requirement</w:t>
      </w:r>
      <w:r w:rsidR="00D5310D" w:rsidRPr="006D696C">
        <w:rPr>
          <w:sz w:val="20"/>
          <w:szCs w:val="20"/>
          <w:lang w:val="en-GB" w:eastAsia="en-US"/>
        </w:rPr>
        <w:t>s</w:t>
      </w:r>
      <w:r w:rsidR="00596C6D" w:rsidRPr="006D696C">
        <w:rPr>
          <w:sz w:val="20"/>
          <w:szCs w:val="20"/>
          <w:lang w:val="en-GB" w:eastAsia="en-US"/>
        </w:rPr>
        <w:t xml:space="preserve"> on the preparation time for TCI-state switch for PDCCH and PDSCH are now ready in Section </w:t>
      </w:r>
      <w:r w:rsidR="00D5310D" w:rsidRPr="006D696C">
        <w:rPr>
          <w:sz w:val="20"/>
          <w:szCs w:val="20"/>
          <w:lang w:val="en-GB" w:eastAsia="en-US"/>
        </w:rPr>
        <w:t xml:space="preserve">8.10 of TS38.133. Therefore, network can expect the time that UE starts to receive PDCCH and PDSCH based on new TCI-state. However, network has no expectation on how long UE should be able to report CSI based on new TCI-state. Without a clear expectation, network has no idea whether to trust the CSI report from UE and </w:t>
      </w:r>
      <w:r w:rsidR="00CA1A24">
        <w:rPr>
          <w:sz w:val="20"/>
          <w:szCs w:val="20"/>
          <w:lang w:val="en-GB" w:eastAsia="en-US"/>
        </w:rPr>
        <w:t>may tend to</w:t>
      </w:r>
      <w:r w:rsidR="00D5310D" w:rsidRPr="006D696C">
        <w:rPr>
          <w:sz w:val="20"/>
          <w:szCs w:val="20"/>
          <w:lang w:val="en-GB" w:eastAsia="en-US"/>
        </w:rPr>
        <w:t xml:space="preserve"> adopt conservative MCS in scheduling, leading to throughput loss. </w:t>
      </w:r>
    </w:p>
    <w:p w14:paraId="11B392CA" w14:textId="51743B17" w:rsidR="00912761" w:rsidRDefault="00DC6419" w:rsidP="00912761">
      <w:pPr>
        <w:jc w:val="center"/>
        <w:rPr>
          <w:lang w:val="en-GB" w:eastAsia="en-US"/>
        </w:rPr>
      </w:pPr>
      <w:r w:rsidRPr="00DC6419">
        <w:rPr>
          <w:noProof/>
        </w:rPr>
        <w:lastRenderedPageBreak/>
        <w:drawing>
          <wp:inline distT="0" distB="0" distL="0" distR="0" wp14:anchorId="23820762" wp14:editId="7C569C79">
            <wp:extent cx="3931856" cy="34158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8068" cy="3421224"/>
                    </a:xfrm>
                    <a:prstGeom prst="rect">
                      <a:avLst/>
                    </a:prstGeom>
                    <a:noFill/>
                    <a:ln>
                      <a:noFill/>
                    </a:ln>
                  </pic:spPr>
                </pic:pic>
              </a:graphicData>
            </a:graphic>
          </wp:inline>
        </w:drawing>
      </w:r>
    </w:p>
    <w:p w14:paraId="0A512F6F" w14:textId="2F6F30E0" w:rsidR="00912761" w:rsidRDefault="00912761" w:rsidP="00912761">
      <w:pPr>
        <w:pStyle w:val="af0"/>
        <w:jc w:val="center"/>
        <w:rPr>
          <w:lang w:val="en-GB" w:eastAsia="en-US"/>
        </w:rPr>
      </w:pPr>
      <w:bookmarkStart w:id="1" w:name="_Ref318071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451134">
        <w:rPr>
          <w:noProof/>
        </w:rPr>
        <w:t>1</w:t>
      </w:r>
      <w:r w:rsidR="00387496">
        <w:rPr>
          <w:noProof/>
        </w:rPr>
        <w:fldChar w:fldCharType="end"/>
      </w:r>
      <w:bookmarkEnd w:id="1"/>
      <w:r>
        <w:t xml:space="preserve">. </w:t>
      </w:r>
      <w:r w:rsidR="00D5310D">
        <w:t>Potential throughput loss due to no requirements for TCI-state switch for CSI-RS for CSI reporting</w:t>
      </w:r>
      <w:r>
        <w:t>.</w:t>
      </w:r>
    </w:p>
    <w:p w14:paraId="5BF39D7C" w14:textId="77777777" w:rsidR="00EB42E0" w:rsidRDefault="00EB42E0" w:rsidP="00EB42E0">
      <w:pPr>
        <w:jc w:val="both"/>
        <w:rPr>
          <w:lang w:val="en-GB" w:eastAsia="en-US"/>
        </w:rPr>
      </w:pPr>
    </w:p>
    <w:p w14:paraId="24BBE5E4" w14:textId="00D14909" w:rsidR="00CD13A7" w:rsidRPr="006D696C" w:rsidRDefault="00CD13A7" w:rsidP="00CD13A7">
      <w:pPr>
        <w:pStyle w:val="af0"/>
        <w:rPr>
          <w:rFonts w:eastAsia="PMingLiU"/>
          <w:lang w:eastAsia="zh-TW"/>
        </w:rPr>
      </w:pPr>
      <w:r w:rsidRPr="006D696C">
        <w:rPr>
          <w:lang w:val="en-GB" w:eastAsia="en-US"/>
        </w:rPr>
        <w:t xml:space="preserve">The simplest way to avoid this throughput loss is to introduce the requirement about the preparation time of TCI-state switch for CSI-RS for CSI reporting. Then network can have the expectation on UE’s preparation time and even try to optimize the triggering timing for </w:t>
      </w:r>
      <w:r w:rsidR="00DF0651">
        <w:rPr>
          <w:lang w:val="en-GB" w:eastAsia="en-US"/>
        </w:rPr>
        <w:t xml:space="preserve">the TCI-sate switch for </w:t>
      </w:r>
      <w:r w:rsidRPr="006D696C">
        <w:rPr>
          <w:lang w:val="en-GB" w:eastAsia="en-US"/>
        </w:rPr>
        <w:t xml:space="preserve">PDSCH, PDCCH and CSI-RS. </w:t>
      </w:r>
      <w:r w:rsidR="00A847A8">
        <w:rPr>
          <w:lang w:val="en-GB" w:eastAsia="en-US"/>
        </w:rPr>
        <w:t xml:space="preserve">The active TCI state switch may consider either configuring a </w:t>
      </w:r>
      <w:r w:rsidR="00A847A8" w:rsidRPr="00A847A8">
        <w:rPr>
          <w:lang w:val="en-GB" w:eastAsia="en-US"/>
        </w:rPr>
        <w:t xml:space="preserve">TCI state for the same CSI-RS for CQI </w:t>
      </w:r>
      <w:r w:rsidR="00A847A8">
        <w:rPr>
          <w:lang w:val="en-GB" w:eastAsia="en-US"/>
        </w:rPr>
        <w:t>or configuring</w:t>
      </w:r>
      <w:r w:rsidR="00A847A8" w:rsidRPr="00A847A8">
        <w:rPr>
          <w:lang w:val="en-GB" w:eastAsia="en-US"/>
        </w:rPr>
        <w:tab/>
      </w:r>
      <w:r w:rsidR="000C4109">
        <w:rPr>
          <w:lang w:val="en-GB" w:eastAsia="en-US"/>
        </w:rPr>
        <w:t xml:space="preserve"> </w:t>
      </w:r>
      <w:r w:rsidR="00A847A8">
        <w:rPr>
          <w:lang w:val="en-GB" w:eastAsia="en-US"/>
        </w:rPr>
        <w:t>n</w:t>
      </w:r>
      <w:r w:rsidR="00A847A8" w:rsidRPr="00A847A8">
        <w:rPr>
          <w:lang w:val="en-GB" w:eastAsia="en-US"/>
        </w:rPr>
        <w:t>ew CSI-RS with new TCI state to replace the previous CSI-RS</w:t>
      </w:r>
      <w:r w:rsidR="00A847A8">
        <w:rPr>
          <w:lang w:val="en-GB" w:eastAsia="en-US"/>
        </w:rPr>
        <w:t>.</w:t>
      </w:r>
      <w:bookmarkStart w:id="2" w:name="_Ref31828127"/>
      <w:r w:rsidRPr="006D696C">
        <w:t xml:space="preserve">Scope </w:t>
      </w:r>
      <w:r w:rsidRPr="006D696C">
        <w:fldChar w:fldCharType="begin"/>
      </w:r>
      <w:r w:rsidRPr="006D696C">
        <w:instrText xml:space="preserve"> SEQ Scope \* ARABIC </w:instrText>
      </w:r>
      <w:r w:rsidRPr="006D696C">
        <w:fldChar w:fldCharType="separate"/>
      </w:r>
      <w:r w:rsidR="00451134">
        <w:rPr>
          <w:noProof/>
        </w:rPr>
        <w:t>1</w:t>
      </w:r>
      <w:r w:rsidRPr="006D696C">
        <w:fldChar w:fldCharType="end"/>
      </w:r>
      <w:r w:rsidRPr="006D696C">
        <w:t xml:space="preserve">: </w:t>
      </w:r>
      <w:r w:rsidRPr="006D696C">
        <w:rPr>
          <w:rFonts w:eastAsia="PMingLiU" w:hint="eastAsia"/>
          <w:lang w:eastAsia="zh-TW"/>
        </w:rPr>
        <w:t>In</w:t>
      </w:r>
      <w:r w:rsidRPr="006D696C">
        <w:rPr>
          <w:rFonts w:eastAsia="PMingLiU"/>
          <w:lang w:eastAsia="zh-TW"/>
        </w:rPr>
        <w:t xml:space="preserve">troduce UE requirements for </w:t>
      </w:r>
      <w:r w:rsidRPr="006D696C">
        <w:rPr>
          <w:rFonts w:eastAsia="PMingLiU"/>
          <w:lang w:val="en-US" w:eastAsia="zh-TW"/>
        </w:rPr>
        <w:t>TCI state switch for CSI reporting</w:t>
      </w:r>
      <w:r w:rsidR="00B60868">
        <w:rPr>
          <w:rFonts w:eastAsia="PMingLiU"/>
          <w:lang w:val="en-US" w:eastAsia="zh-TW"/>
        </w:rPr>
        <w:t xml:space="preserve"> via </w:t>
      </w:r>
      <w:r w:rsidR="00B60868" w:rsidRPr="006D696C">
        <w:rPr>
          <w:rFonts w:eastAsia="PMingLiU"/>
          <w:lang w:val="en-US" w:eastAsia="zh-TW"/>
        </w:rPr>
        <w:t>CSI-RS</w:t>
      </w:r>
      <w:r w:rsidR="008F4EA7">
        <w:rPr>
          <w:rFonts w:eastAsia="PMingLiU"/>
          <w:lang w:val="en-US" w:eastAsia="zh-TW"/>
        </w:rPr>
        <w:t xml:space="preserve"> reconfiguration</w:t>
      </w:r>
      <w:r w:rsidRPr="006D696C">
        <w:rPr>
          <w:rFonts w:eastAsia="PMingLiU"/>
          <w:lang w:val="en-US" w:eastAsia="zh-TW"/>
        </w:rPr>
        <w:t>.</w:t>
      </w:r>
      <w:bookmarkEnd w:id="2"/>
    </w:p>
    <w:p w14:paraId="6A116EED" w14:textId="77777777" w:rsidR="00EB42E0" w:rsidRPr="009B0081" w:rsidRDefault="00EB42E0" w:rsidP="00EB42E0">
      <w:pPr>
        <w:jc w:val="both"/>
        <w:rPr>
          <w:lang w:val="en-GB" w:eastAsia="en-US"/>
        </w:rPr>
      </w:pPr>
    </w:p>
    <w:p w14:paraId="22D2AD07" w14:textId="6C55FC22" w:rsidR="009B0081" w:rsidRDefault="009B0081" w:rsidP="009B0081">
      <w:pPr>
        <w:pStyle w:val="2"/>
      </w:pPr>
      <w:r>
        <w:t>2.2 Interruption due to SRS antenna switch</w:t>
      </w:r>
    </w:p>
    <w:p w14:paraId="21BDC58B" w14:textId="7B2E83F0" w:rsidR="00DC6419" w:rsidRPr="006D696C" w:rsidRDefault="00607D5E" w:rsidP="000744F7">
      <w:pPr>
        <w:jc w:val="both"/>
        <w:rPr>
          <w:sz w:val="20"/>
          <w:szCs w:val="20"/>
          <w:lang w:val="en-GB" w:eastAsia="en-US"/>
        </w:rPr>
      </w:pPr>
      <w:r w:rsidRPr="006D696C">
        <w:rPr>
          <w:sz w:val="20"/>
          <w:szCs w:val="20"/>
          <w:lang w:val="en-GB" w:eastAsia="en-US"/>
        </w:rPr>
        <w:t>The mechanism of SRS antenna switch was introduced in Rel-15 by RAN1. Detail procedure was specified in TS38.214</w:t>
      </w:r>
      <w:r w:rsidRPr="006D696C">
        <w:rPr>
          <w:rFonts w:hint="eastAsia"/>
          <w:sz w:val="20"/>
          <w:szCs w:val="20"/>
          <w:lang w:val="en-GB" w:eastAsia="en-US"/>
        </w:rPr>
        <w:t xml:space="preserve">, as captured </w:t>
      </w:r>
      <w:r w:rsidR="000744F7" w:rsidRPr="006D696C">
        <w:rPr>
          <w:sz w:val="20"/>
          <w:szCs w:val="20"/>
          <w:lang w:val="en-GB" w:eastAsia="en-US"/>
        </w:rPr>
        <w:t>in Appendix</w:t>
      </w:r>
      <w:r w:rsidRPr="006D696C">
        <w:rPr>
          <w:sz w:val="20"/>
          <w:szCs w:val="20"/>
          <w:lang w:val="en-GB" w:eastAsia="en-US"/>
        </w:rPr>
        <w:t>. The main purpose for this antenna switch is to enable the DL CSI acquisition for different number of Tx and Rx antenna pair, e.g., '1T2R', '2T4R', '1T4R', '1T4R/2T4R', or 'T=R'.</w:t>
      </w:r>
    </w:p>
    <w:p w14:paraId="014D3A35" w14:textId="135726B7" w:rsidR="00607D5E" w:rsidRPr="006D696C" w:rsidRDefault="00607D5E" w:rsidP="000744F7">
      <w:pPr>
        <w:jc w:val="both"/>
        <w:rPr>
          <w:sz w:val="20"/>
          <w:szCs w:val="20"/>
          <w:lang w:val="en-GB" w:eastAsia="en-US"/>
        </w:rPr>
      </w:pPr>
      <w:r w:rsidRPr="006D696C">
        <w:rPr>
          <w:sz w:val="20"/>
          <w:szCs w:val="20"/>
          <w:lang w:val="en-GB" w:eastAsia="en-US"/>
        </w:rPr>
        <w:t>In TS38.</w:t>
      </w:r>
      <w:r w:rsidR="00CA1A24">
        <w:rPr>
          <w:sz w:val="20"/>
          <w:szCs w:val="20"/>
          <w:lang w:val="en-GB" w:eastAsia="en-US"/>
        </w:rPr>
        <w:t>331</w:t>
      </w:r>
      <w:r w:rsidRPr="006D696C">
        <w:rPr>
          <w:sz w:val="20"/>
          <w:szCs w:val="20"/>
          <w:lang w:val="en-GB" w:eastAsia="en-US"/>
        </w:rPr>
        <w:t>, the corresponding UE capabilities are specified. UE can report in a band combination whether it support</w:t>
      </w:r>
      <w:r w:rsidR="0010283F">
        <w:rPr>
          <w:sz w:val="20"/>
          <w:szCs w:val="20"/>
          <w:lang w:val="en-GB" w:eastAsia="en-US"/>
        </w:rPr>
        <w:t>s</w:t>
      </w:r>
      <w:r w:rsidRPr="006D696C">
        <w:rPr>
          <w:sz w:val="20"/>
          <w:szCs w:val="20"/>
          <w:lang w:val="en-GB" w:eastAsia="en-US"/>
        </w:rPr>
        <w:t xml:space="preserve"> SRS antenna switch. Furthermore, UE can </w:t>
      </w:r>
      <w:r w:rsidR="000744F7" w:rsidRPr="006D696C">
        <w:rPr>
          <w:sz w:val="20"/>
          <w:szCs w:val="20"/>
          <w:lang w:val="en-GB" w:eastAsia="en-US"/>
        </w:rPr>
        <w:t xml:space="preserve">also </w:t>
      </w:r>
      <w:r w:rsidR="007D3823">
        <w:rPr>
          <w:sz w:val="20"/>
          <w:szCs w:val="20"/>
          <w:lang w:val="en-GB" w:eastAsia="en-US"/>
        </w:rPr>
        <w:t>inform network</w:t>
      </w:r>
      <w:r w:rsidRPr="006D696C">
        <w:rPr>
          <w:sz w:val="20"/>
          <w:szCs w:val="20"/>
          <w:lang w:val="en-GB" w:eastAsia="en-US"/>
        </w:rPr>
        <w:t xml:space="preserve"> whether the </w:t>
      </w:r>
      <w:r w:rsidR="00284DF3">
        <w:rPr>
          <w:sz w:val="20"/>
          <w:szCs w:val="20"/>
          <w:lang w:val="en-GB" w:eastAsia="en-US"/>
        </w:rPr>
        <w:t xml:space="preserve">SRS antenna switch will impact the </w:t>
      </w:r>
      <w:r w:rsidR="000744F7" w:rsidRPr="006D696C">
        <w:rPr>
          <w:sz w:val="20"/>
          <w:szCs w:val="20"/>
          <w:lang w:val="en-GB" w:eastAsia="en-US"/>
        </w:rPr>
        <w:t>reception</w:t>
      </w:r>
      <w:r w:rsidRPr="006D696C">
        <w:rPr>
          <w:sz w:val="20"/>
          <w:szCs w:val="20"/>
          <w:lang w:val="en-GB" w:eastAsia="en-US"/>
        </w:rPr>
        <w:t xml:space="preserve"> on other band</w:t>
      </w:r>
      <w:r w:rsidR="005876B3">
        <w:rPr>
          <w:sz w:val="20"/>
          <w:szCs w:val="20"/>
          <w:lang w:val="en-GB" w:eastAsia="en-US"/>
        </w:rPr>
        <w:t>(s)</w:t>
      </w:r>
      <w:r w:rsidRPr="006D696C">
        <w:rPr>
          <w:sz w:val="20"/>
          <w:szCs w:val="20"/>
          <w:lang w:val="en-GB" w:eastAsia="en-US"/>
        </w:rPr>
        <w:t xml:space="preserve"> through</w:t>
      </w:r>
      <w:r w:rsidR="007D3823">
        <w:rPr>
          <w:sz w:val="20"/>
          <w:szCs w:val="20"/>
          <w:lang w:val="en-GB" w:eastAsia="en-US"/>
        </w:rPr>
        <w:t xml:space="preserve"> indicating</w:t>
      </w:r>
      <w:r w:rsidRPr="006D696C">
        <w:rPr>
          <w:sz w:val="20"/>
          <w:szCs w:val="20"/>
          <w:lang w:val="en-GB" w:eastAsia="en-US"/>
        </w:rPr>
        <w:t xml:space="preserve"> </w:t>
      </w:r>
      <w:r w:rsidRPr="006D696C">
        <w:rPr>
          <w:rFonts w:ascii="Times New Roman" w:hAnsi="Times New Roman" w:cs="Times New Roman"/>
          <w:i/>
          <w:sz w:val="20"/>
          <w:szCs w:val="20"/>
          <w:lang w:val="en-GB" w:eastAsia="en-US"/>
        </w:rPr>
        <w:t>txSwitchImpactToRx</w:t>
      </w:r>
      <w:r w:rsidR="000744F7" w:rsidRPr="006D696C">
        <w:rPr>
          <w:sz w:val="20"/>
          <w:szCs w:val="20"/>
          <w:lang w:val="en-GB" w:eastAsia="en-US"/>
        </w:rPr>
        <w:t xml:space="preserve"> and </w:t>
      </w:r>
      <w:r w:rsidR="007B173E">
        <w:rPr>
          <w:sz w:val="20"/>
          <w:szCs w:val="20"/>
          <w:lang w:val="en-GB" w:eastAsia="en-US"/>
        </w:rPr>
        <w:t xml:space="preserve">the </w:t>
      </w:r>
      <w:r w:rsidR="000744F7" w:rsidRPr="006D696C">
        <w:rPr>
          <w:sz w:val="20"/>
          <w:szCs w:val="20"/>
          <w:lang w:val="en-GB" w:eastAsia="en-US"/>
        </w:rPr>
        <w:t>transmission on the other band</w:t>
      </w:r>
      <w:r w:rsidR="005876B3">
        <w:rPr>
          <w:sz w:val="20"/>
          <w:szCs w:val="20"/>
          <w:lang w:val="en-GB" w:eastAsia="en-US"/>
        </w:rPr>
        <w:t>(s)</w:t>
      </w:r>
      <w:r w:rsidR="000744F7" w:rsidRPr="006D696C">
        <w:rPr>
          <w:sz w:val="20"/>
          <w:szCs w:val="20"/>
          <w:lang w:val="en-GB" w:eastAsia="en-US"/>
        </w:rPr>
        <w:t xml:space="preserve"> through </w:t>
      </w:r>
      <w:r w:rsidR="007D3823">
        <w:rPr>
          <w:sz w:val="20"/>
          <w:szCs w:val="20"/>
          <w:lang w:val="en-GB" w:eastAsia="en-US"/>
        </w:rPr>
        <w:t xml:space="preserve">indicating </w:t>
      </w:r>
      <w:r w:rsidR="000744F7" w:rsidRPr="006D696C">
        <w:rPr>
          <w:rFonts w:ascii="Times New Roman" w:hAnsi="Times New Roman" w:cs="Times New Roman"/>
          <w:i/>
          <w:sz w:val="20"/>
          <w:szCs w:val="20"/>
          <w:lang w:val="en-GB" w:eastAsia="en-US"/>
        </w:rPr>
        <w:t>TxSwitchWithAnotherBand</w:t>
      </w:r>
      <w:r w:rsidR="000744F7" w:rsidRPr="006D696C">
        <w:rPr>
          <w:sz w:val="20"/>
          <w:szCs w:val="20"/>
          <w:lang w:val="en-GB" w:eastAsia="en-US"/>
        </w:rPr>
        <w:t xml:space="preserve">. </w:t>
      </w:r>
    </w:p>
    <w:p w14:paraId="08503B71" w14:textId="7A796306" w:rsidR="00DC6419" w:rsidRDefault="00607D5E" w:rsidP="00DC6419">
      <w:pPr>
        <w:rPr>
          <w:lang w:val="en-GB" w:eastAsia="en-US"/>
        </w:rPr>
      </w:pPr>
      <w:r w:rsidRPr="00607D5E">
        <w:rPr>
          <w:noProof/>
        </w:rPr>
        <w:drawing>
          <wp:inline distT="0" distB="0" distL="0" distR="0" wp14:anchorId="58DF7FD8" wp14:editId="0B2F8BA7">
            <wp:extent cx="6120765" cy="15281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528174"/>
                    </a:xfrm>
                    <a:prstGeom prst="rect">
                      <a:avLst/>
                    </a:prstGeom>
                    <a:noFill/>
                    <a:ln>
                      <a:noFill/>
                    </a:ln>
                  </pic:spPr>
                </pic:pic>
              </a:graphicData>
            </a:graphic>
          </wp:inline>
        </w:drawing>
      </w:r>
    </w:p>
    <w:p w14:paraId="09051EA5" w14:textId="4C73882A" w:rsidR="00DC6419" w:rsidRPr="006D696C" w:rsidRDefault="00EE3294" w:rsidP="00DC6419">
      <w:pPr>
        <w:rPr>
          <w:sz w:val="20"/>
          <w:szCs w:val="20"/>
          <w:lang w:val="en-GB" w:eastAsia="en-US"/>
        </w:rPr>
      </w:pPr>
      <w:r w:rsidRPr="006D696C">
        <w:rPr>
          <w:sz w:val="20"/>
          <w:szCs w:val="20"/>
          <w:lang w:val="en-GB" w:eastAsia="en-US"/>
        </w:rPr>
        <w:t xml:space="preserve">The detail descriptions for </w:t>
      </w:r>
      <w:r w:rsidRPr="006D696C">
        <w:rPr>
          <w:rFonts w:ascii="Times New Roman" w:hAnsi="Times New Roman" w:cs="Times New Roman"/>
          <w:i/>
          <w:sz w:val="20"/>
          <w:szCs w:val="20"/>
          <w:lang w:val="en-GB" w:eastAsia="en-US"/>
        </w:rPr>
        <w:t>txSwitchImpactToRx</w:t>
      </w:r>
      <w:r w:rsidRPr="006D696C">
        <w:rPr>
          <w:sz w:val="20"/>
          <w:szCs w:val="20"/>
          <w:lang w:val="en-GB" w:eastAsia="en-US"/>
        </w:rPr>
        <w:t xml:space="preserve"> and </w:t>
      </w:r>
      <w:r w:rsidRPr="006D696C">
        <w:rPr>
          <w:rFonts w:ascii="Times New Roman" w:hAnsi="Times New Roman" w:cs="Times New Roman"/>
          <w:i/>
          <w:sz w:val="20"/>
          <w:szCs w:val="20"/>
          <w:lang w:val="en-GB" w:eastAsia="en-US"/>
        </w:rPr>
        <w:t>TxSwitchWithAnotherBand</w:t>
      </w:r>
      <w:r w:rsidRPr="006D696C">
        <w:rPr>
          <w:sz w:val="20"/>
          <w:szCs w:val="20"/>
          <w:lang w:val="en-GB" w:eastAsia="en-US"/>
        </w:rPr>
        <w:t xml:space="preserve"> can be found in TS38.306.</w:t>
      </w:r>
    </w:p>
    <w:tbl>
      <w:tblPr>
        <w:tblStyle w:val="af4"/>
        <w:tblW w:w="0" w:type="auto"/>
        <w:tblInd w:w="1129" w:type="dxa"/>
        <w:tblLook w:val="04A0" w:firstRow="1" w:lastRow="0" w:firstColumn="1" w:lastColumn="0" w:noHBand="0" w:noVBand="1"/>
      </w:tblPr>
      <w:tblGrid>
        <w:gridCol w:w="7371"/>
      </w:tblGrid>
      <w:tr w:rsidR="00EE3294" w14:paraId="3A8EC304" w14:textId="77777777" w:rsidTr="00EE3294">
        <w:tc>
          <w:tcPr>
            <w:tcW w:w="7371" w:type="dxa"/>
          </w:tcPr>
          <w:p w14:paraId="67B7FCB1" w14:textId="77777777" w:rsidR="00EE3294" w:rsidRPr="006D696C" w:rsidRDefault="00EE3294" w:rsidP="00EE3294">
            <w:pPr>
              <w:pStyle w:val="TAL"/>
              <w:spacing w:after="60"/>
              <w:rPr>
                <w:b/>
                <w:i/>
                <w:sz w:val="16"/>
              </w:rPr>
            </w:pPr>
            <w:r w:rsidRPr="006D696C">
              <w:rPr>
                <w:b/>
                <w:i/>
                <w:sz w:val="16"/>
              </w:rPr>
              <w:lastRenderedPageBreak/>
              <w:t>SRS-TxSwitch</w:t>
            </w:r>
          </w:p>
          <w:p w14:paraId="18660B9D" w14:textId="77777777" w:rsidR="00EE3294" w:rsidRPr="006D696C" w:rsidRDefault="00EE3294" w:rsidP="00EE3294">
            <w:pPr>
              <w:pStyle w:val="TAL"/>
              <w:spacing w:after="60"/>
              <w:rPr>
                <w:sz w:val="16"/>
              </w:rPr>
            </w:pPr>
            <w:r w:rsidRPr="006D696C">
              <w:rPr>
                <w:sz w:val="16"/>
              </w:rPr>
              <w:t>Defines whether UE supports SRS antenna port switching as defined in clause 6.2.1.2 of TS 38.214 [12]. The capability signalling comprises of the following parameters:</w:t>
            </w:r>
          </w:p>
          <w:p w14:paraId="1DD83C6F"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rPr>
              <w:t>supportedSRS-TxPortSwitch</w:t>
            </w:r>
            <w:r w:rsidRPr="006D696C">
              <w:rPr>
                <w:rFonts w:ascii="Arial" w:hAnsi="Arial" w:cs="Arial"/>
                <w:sz w:val="16"/>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0B934339"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highlight w:val="yellow"/>
              </w:rPr>
              <w:t>txSwitchImpactToRx</w:t>
            </w:r>
            <w:r w:rsidRPr="006D696C">
              <w:rPr>
                <w:rFonts w:ascii="Arial" w:hAnsi="Arial" w:cs="Arial"/>
                <w:sz w:val="16"/>
                <w:szCs w:val="18"/>
              </w:rPr>
              <w:t xml:space="preserve"> indicates the entry number of the first-listed band with UL in the band combination that affects this DL;</w:t>
            </w:r>
          </w:p>
          <w:p w14:paraId="2B868D77"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highlight w:val="green"/>
              </w:rPr>
              <w:t>txSwitchWithAnotherBand</w:t>
            </w:r>
            <w:r w:rsidRPr="006D696C">
              <w:rPr>
                <w:rFonts w:ascii="Arial" w:hAnsi="Arial" w:cs="Arial"/>
                <w:sz w:val="16"/>
                <w:szCs w:val="18"/>
              </w:rPr>
              <w:t xml:space="preserve"> indicates the entry number of the first-listed band with UL in the band combination that switches together with this UL.</w:t>
            </w:r>
          </w:p>
          <w:p w14:paraId="6CDB77C5" w14:textId="5E74809B" w:rsidR="00EE3294" w:rsidRPr="0061709C" w:rsidRDefault="00EE3294" w:rsidP="0061709C">
            <w:pPr>
              <w:pStyle w:val="TAL"/>
              <w:spacing w:after="60"/>
            </w:pPr>
            <w:r w:rsidRPr="006D696C">
              <w:rPr>
                <w:sz w:val="16"/>
              </w:rPr>
              <w:t xml:space="preserve">For </w:t>
            </w:r>
            <w:r w:rsidRPr="006D696C">
              <w:rPr>
                <w:i/>
                <w:sz w:val="16"/>
              </w:rPr>
              <w:t>txSwitchImpactToRx</w:t>
            </w:r>
            <w:r w:rsidRPr="006D696C">
              <w:rPr>
                <w:sz w:val="16"/>
              </w:rPr>
              <w:t xml:space="preserve"> and </w:t>
            </w:r>
            <w:r w:rsidRPr="006D696C">
              <w:rPr>
                <w:i/>
                <w:sz w:val="16"/>
              </w:rPr>
              <w:t>txSwitchWithAnotherBand</w:t>
            </w:r>
            <w:r w:rsidRPr="006D696C">
              <w:rPr>
                <w:sz w:val="16"/>
              </w:rPr>
              <w:t>, value 1 means first entry, value 2 means second entry and so on. All DL and UL that switch together indicate the same entry number.</w:t>
            </w:r>
          </w:p>
        </w:tc>
      </w:tr>
    </w:tbl>
    <w:p w14:paraId="5D9FCACD" w14:textId="77777777" w:rsidR="00EE3294" w:rsidRDefault="00EE3294" w:rsidP="00DC6419">
      <w:pPr>
        <w:rPr>
          <w:lang w:val="en-GB" w:eastAsia="en-US"/>
        </w:rPr>
      </w:pPr>
    </w:p>
    <w:p w14:paraId="12B385AF" w14:textId="41E5D765" w:rsidR="00E202BC" w:rsidRPr="00E202BC" w:rsidRDefault="00EE3294" w:rsidP="00E202BC">
      <w:pPr>
        <w:jc w:val="both"/>
        <w:rPr>
          <w:lang w:val="en-GB"/>
        </w:rPr>
      </w:pPr>
      <w:r w:rsidRPr="006D696C">
        <w:rPr>
          <w:sz w:val="20"/>
          <w:szCs w:val="20"/>
          <w:lang w:val="en-GB" w:eastAsia="en-US"/>
        </w:rPr>
        <w:t>From UE performance perspective, impacting Rx or Tx on another band</w:t>
      </w:r>
      <w:r w:rsidR="00344EF6">
        <w:rPr>
          <w:sz w:val="20"/>
          <w:szCs w:val="20"/>
          <w:lang w:val="en-GB" w:eastAsia="en-US"/>
        </w:rPr>
        <w:t>(s)</w:t>
      </w:r>
      <w:r w:rsidRPr="006D696C">
        <w:rPr>
          <w:sz w:val="20"/>
          <w:szCs w:val="20"/>
          <w:lang w:val="en-GB" w:eastAsia="en-US"/>
        </w:rPr>
        <w:t xml:space="preserve"> implies that the interruption can be expected on other band</w:t>
      </w:r>
      <w:r w:rsidR="009C06EF">
        <w:rPr>
          <w:sz w:val="20"/>
          <w:szCs w:val="20"/>
          <w:lang w:val="en-GB" w:eastAsia="en-US"/>
        </w:rPr>
        <w:t>(s)</w:t>
      </w:r>
      <w:r w:rsidRPr="006D696C">
        <w:rPr>
          <w:sz w:val="20"/>
          <w:szCs w:val="20"/>
          <w:lang w:val="en-GB" w:eastAsia="en-US"/>
        </w:rPr>
        <w:t xml:space="preserve"> when performing SRS antenna switch. However, in current </w:t>
      </w:r>
      <w:r w:rsidR="00782DC5">
        <w:rPr>
          <w:sz w:val="20"/>
          <w:szCs w:val="20"/>
          <w:lang w:val="en-GB" w:eastAsia="en-US"/>
        </w:rPr>
        <w:t xml:space="preserve">RAN4 </w:t>
      </w:r>
      <w:r w:rsidR="00EA04C8">
        <w:rPr>
          <w:sz w:val="20"/>
          <w:szCs w:val="20"/>
          <w:lang w:val="en-GB" w:eastAsia="en-US"/>
        </w:rPr>
        <w:t>RRM spec</w:t>
      </w:r>
      <w:r w:rsidRPr="006D696C">
        <w:rPr>
          <w:sz w:val="20"/>
          <w:szCs w:val="20"/>
          <w:lang w:val="en-GB" w:eastAsia="en-US"/>
        </w:rPr>
        <w:t xml:space="preserve"> the corresponding interruption requirements due to SRS antenna switch </w:t>
      </w:r>
      <w:r w:rsidR="006E1331">
        <w:rPr>
          <w:sz w:val="20"/>
          <w:szCs w:val="20"/>
          <w:lang w:val="en-GB" w:eastAsia="en-US"/>
        </w:rPr>
        <w:t>are</w:t>
      </w:r>
      <w:r w:rsidRPr="006D696C">
        <w:rPr>
          <w:sz w:val="20"/>
          <w:szCs w:val="20"/>
          <w:lang w:val="en-GB" w:eastAsia="en-US"/>
        </w:rPr>
        <w:t xml:space="preserve"> missing. This inconsistency between RAN2 and RAN4 should be avoid. </w:t>
      </w:r>
      <w:r w:rsidR="007D3823">
        <w:rPr>
          <w:sz w:val="20"/>
          <w:szCs w:val="20"/>
          <w:lang w:val="en-GB" w:eastAsia="en-US"/>
        </w:rPr>
        <w:t xml:space="preserve">Furthermore, it would be beneficial to network to know accurately the starting time and the length of the interruption in order to minimize the degradation to outer loop link adaption (OLLA). </w:t>
      </w:r>
      <w:r w:rsidRPr="006D696C">
        <w:rPr>
          <w:sz w:val="20"/>
          <w:szCs w:val="20"/>
          <w:lang w:val="en-GB" w:eastAsia="en-US"/>
        </w:rPr>
        <w:t>Therefore, it is desired to introduce the interruption requirements due to SRS antenna switch.</w:t>
      </w:r>
    </w:p>
    <w:p w14:paraId="093E94F9" w14:textId="59EC3037" w:rsidR="00EE3294" w:rsidRPr="006D696C" w:rsidRDefault="00EE3294" w:rsidP="00EE3294">
      <w:pPr>
        <w:pStyle w:val="af0"/>
        <w:rPr>
          <w:lang w:val="en-GB" w:eastAsia="en-US"/>
        </w:rPr>
      </w:pPr>
      <w:bookmarkStart w:id="3" w:name="_Ref31828128"/>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451134">
        <w:rPr>
          <w:noProof/>
        </w:rPr>
        <w:t>2</w:t>
      </w:r>
      <w:r w:rsidR="00387496">
        <w:rPr>
          <w:noProof/>
        </w:rPr>
        <w:fldChar w:fldCharType="end"/>
      </w:r>
      <w:r w:rsidRPr="006D696C">
        <w:t xml:space="preserve">: Introduce the </w:t>
      </w:r>
      <w:r w:rsidRPr="006D696C">
        <w:rPr>
          <w:lang w:val="en-GB" w:eastAsia="en-US"/>
        </w:rPr>
        <w:t>interruption requirements due to SRS antenna switch</w:t>
      </w:r>
      <w:bookmarkEnd w:id="3"/>
      <w:r w:rsidR="00FA58D1" w:rsidRPr="006D696C">
        <w:rPr>
          <w:lang w:val="en-GB" w:eastAsia="en-US"/>
        </w:rPr>
        <w:t>.</w:t>
      </w:r>
    </w:p>
    <w:p w14:paraId="24754316" w14:textId="77777777" w:rsidR="00DC6419" w:rsidRPr="00DC6419" w:rsidRDefault="00DC6419" w:rsidP="00DC6419">
      <w:pPr>
        <w:rPr>
          <w:lang w:val="en-GB" w:eastAsia="en-US"/>
        </w:rPr>
      </w:pPr>
    </w:p>
    <w:p w14:paraId="0C5D24B5" w14:textId="6C6DD363" w:rsidR="009B0081" w:rsidRDefault="009B0081" w:rsidP="009B0081">
      <w:pPr>
        <w:pStyle w:val="2"/>
      </w:pPr>
      <w:r>
        <w:t xml:space="preserve">2.3 </w:t>
      </w:r>
      <w:r w:rsidR="00B02977">
        <w:t>Fast</w:t>
      </w:r>
      <w:r>
        <w:t xml:space="preserve"> </w:t>
      </w:r>
      <w:r w:rsidR="00C14D2A">
        <w:t xml:space="preserve">DCI-based </w:t>
      </w:r>
      <w:r>
        <w:t>BWP switch in FR2</w:t>
      </w:r>
    </w:p>
    <w:p w14:paraId="7E0FE81F" w14:textId="157BFFD7" w:rsidR="0061709C" w:rsidRPr="006D696C" w:rsidRDefault="0061709C" w:rsidP="00C14D2A">
      <w:pPr>
        <w:jc w:val="both"/>
        <w:rPr>
          <w:sz w:val="20"/>
          <w:szCs w:val="20"/>
          <w:lang w:val="en-GB" w:eastAsia="en-US"/>
        </w:rPr>
      </w:pPr>
      <w:r w:rsidRPr="006D696C">
        <w:rPr>
          <w:sz w:val="20"/>
          <w:szCs w:val="20"/>
          <w:lang w:val="en-GB" w:eastAsia="en-US"/>
        </w:rPr>
        <w:t xml:space="preserve">In Rel-15, the requirement for BWP switch delay was introduced </w:t>
      </w:r>
      <w:r w:rsidR="00C61A1E" w:rsidRPr="006D696C">
        <w:rPr>
          <w:sz w:val="20"/>
          <w:szCs w:val="20"/>
          <w:lang w:val="en-GB" w:eastAsia="en-US"/>
        </w:rPr>
        <w:t xml:space="preserve">in </w:t>
      </w:r>
      <w:r w:rsidR="00C14D2A" w:rsidRPr="006D696C">
        <w:rPr>
          <w:sz w:val="20"/>
          <w:szCs w:val="20"/>
          <w:lang w:val="en-GB" w:eastAsia="en-US"/>
        </w:rPr>
        <w:t xml:space="preserve">Table 8.6.2-1 of </w:t>
      </w:r>
      <w:r w:rsidR="00C61A1E" w:rsidRPr="006D696C">
        <w:rPr>
          <w:sz w:val="20"/>
          <w:szCs w:val="20"/>
          <w:lang w:val="en-GB" w:eastAsia="en-US"/>
        </w:rPr>
        <w:t xml:space="preserve">Section 8.6 </w:t>
      </w:r>
      <w:r w:rsidR="00C14D2A" w:rsidRPr="006D696C">
        <w:rPr>
          <w:sz w:val="20"/>
          <w:szCs w:val="20"/>
          <w:lang w:val="en-GB" w:eastAsia="en-US"/>
        </w:rPr>
        <w:t>in</w:t>
      </w:r>
      <w:r w:rsidR="00C61A1E" w:rsidRPr="006D696C">
        <w:rPr>
          <w:sz w:val="20"/>
          <w:szCs w:val="20"/>
          <w:lang w:val="en-GB" w:eastAsia="en-US"/>
        </w:rPr>
        <w:t xml:space="preserve"> TS38.133 for DCI-based, timer-based and RRC-based triggering methods</w:t>
      </w:r>
      <w:r w:rsidRPr="006D696C">
        <w:rPr>
          <w:sz w:val="20"/>
          <w:szCs w:val="20"/>
          <w:lang w:val="en-GB" w:eastAsia="en-US"/>
        </w:rPr>
        <w:t>.</w:t>
      </w:r>
      <w:r w:rsidR="00C61A1E" w:rsidRPr="006D696C">
        <w:rPr>
          <w:sz w:val="20"/>
          <w:szCs w:val="20"/>
          <w:lang w:val="en-GB" w:eastAsia="en-US"/>
        </w:rPr>
        <w:t xml:space="preserve"> The current </w:t>
      </w:r>
      <w:r w:rsidR="00B02977" w:rsidRPr="006D696C">
        <w:rPr>
          <w:sz w:val="20"/>
          <w:szCs w:val="20"/>
          <w:lang w:val="en-GB" w:eastAsia="en-US"/>
        </w:rPr>
        <w:t xml:space="preserve">DCI and timer-based </w:t>
      </w:r>
      <w:r w:rsidR="00C61A1E" w:rsidRPr="006D696C">
        <w:rPr>
          <w:sz w:val="20"/>
          <w:szCs w:val="20"/>
          <w:lang w:val="en-GB" w:eastAsia="en-US"/>
        </w:rPr>
        <w:t xml:space="preserve">requirements depend on </w:t>
      </w:r>
      <w:r w:rsidR="00C14D2A" w:rsidRPr="006D696C">
        <w:rPr>
          <w:sz w:val="20"/>
          <w:szCs w:val="20"/>
          <w:lang w:val="en-GB" w:eastAsia="en-US"/>
        </w:rPr>
        <w:t>a per-</w:t>
      </w:r>
      <w:r w:rsidR="00C61A1E" w:rsidRPr="006D696C">
        <w:rPr>
          <w:sz w:val="20"/>
          <w:szCs w:val="20"/>
          <w:lang w:val="en-GB" w:eastAsia="en-US"/>
        </w:rPr>
        <w:t>UE capability (Type 1 or Type 2)</w:t>
      </w:r>
      <w:r w:rsidR="00C14D2A" w:rsidRPr="006D696C">
        <w:rPr>
          <w:sz w:val="20"/>
          <w:szCs w:val="20"/>
          <w:lang w:val="en-GB" w:eastAsia="en-US"/>
        </w:rPr>
        <w:t>. The Type 1 delay requirements are in general within 1ms for both FR1 and FR2. The Type 2 delay requirements for FR2 are 9 slots and 18 slots for both 60KHz and 120KHz SCS, respectively</w:t>
      </w:r>
      <w:r w:rsidR="00B02977" w:rsidRPr="006D696C">
        <w:rPr>
          <w:sz w:val="20"/>
          <w:szCs w:val="20"/>
          <w:lang w:val="en-GB" w:eastAsia="en-US"/>
        </w:rPr>
        <w:t>,</w:t>
      </w:r>
      <w:r w:rsidR="00C14D2A" w:rsidRPr="006D696C">
        <w:rPr>
          <w:sz w:val="20"/>
          <w:szCs w:val="20"/>
          <w:lang w:val="en-GB" w:eastAsia="en-US"/>
        </w:rPr>
        <w:t xml:space="preserve"> </w:t>
      </w:r>
      <w:r w:rsidR="00B02977" w:rsidRPr="006D696C">
        <w:rPr>
          <w:sz w:val="20"/>
          <w:szCs w:val="20"/>
          <w:lang w:val="en-GB" w:eastAsia="en-US"/>
        </w:rPr>
        <w:t>a</w:t>
      </w:r>
      <w:r w:rsidR="00C14D2A" w:rsidRPr="006D696C">
        <w:rPr>
          <w:sz w:val="20"/>
          <w:szCs w:val="20"/>
          <w:lang w:val="en-GB" w:eastAsia="en-US"/>
        </w:rPr>
        <w:t>lthough they are the same in terms of ms</w:t>
      </w:r>
      <w:r w:rsidR="00B02977" w:rsidRPr="006D696C">
        <w:rPr>
          <w:sz w:val="20"/>
          <w:szCs w:val="20"/>
          <w:lang w:val="en-GB" w:eastAsia="en-US"/>
        </w:rPr>
        <w:t>.</w:t>
      </w:r>
      <w:r w:rsidR="00C14D2A" w:rsidRPr="006D696C">
        <w:rPr>
          <w:sz w:val="20"/>
          <w:szCs w:val="20"/>
          <w:lang w:val="en-GB" w:eastAsia="en-US"/>
        </w:rPr>
        <w:t xml:space="preserve"> </w:t>
      </w:r>
    </w:p>
    <w:p w14:paraId="5673E598" w14:textId="77777777" w:rsidR="00C61A1E" w:rsidRPr="006D696C" w:rsidRDefault="00C61A1E" w:rsidP="00C61A1E">
      <w:pPr>
        <w:pStyle w:val="TH"/>
        <w:rPr>
          <w:sz w:val="20"/>
        </w:rPr>
      </w:pPr>
      <w:r w:rsidRPr="006D696C">
        <w:rPr>
          <w:sz w:val="20"/>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09"/>
        <w:gridCol w:w="1969"/>
        <w:gridCol w:w="1969"/>
      </w:tblGrid>
      <w:tr w:rsidR="00C61A1E" w:rsidRPr="006D696C" w14:paraId="127B96D6" w14:textId="77777777" w:rsidTr="00C61A1E">
        <w:trPr>
          <w:trHeight w:val="305"/>
          <w:jc w:val="center"/>
        </w:trPr>
        <w:tc>
          <w:tcPr>
            <w:tcW w:w="704" w:type="dxa"/>
            <w:vMerge w:val="restart"/>
            <w:shd w:val="clear" w:color="auto" w:fill="auto"/>
            <w:vAlign w:val="center"/>
          </w:tcPr>
          <w:p w14:paraId="373BDB46" w14:textId="77777777" w:rsidR="00C61A1E" w:rsidRPr="006D696C" w:rsidRDefault="00C61A1E" w:rsidP="00C61A1E">
            <w:pPr>
              <w:pStyle w:val="TAH"/>
              <w:spacing w:after="0"/>
              <w:rPr>
                <w:sz w:val="16"/>
              </w:rPr>
            </w:pPr>
            <w:r w:rsidRPr="006D696C">
              <w:rPr>
                <w:noProof/>
                <w:sz w:val="16"/>
                <w:lang w:val="en-US" w:eastAsia="zh-CN"/>
              </w:rPr>
              <w:drawing>
                <wp:inline distT="0" distB="0" distL="0" distR="0" wp14:anchorId="0F7343F0" wp14:editId="5402099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09" w:type="dxa"/>
            <w:vMerge w:val="restart"/>
            <w:vAlign w:val="center"/>
          </w:tcPr>
          <w:p w14:paraId="0E57EB38" w14:textId="77777777" w:rsidR="00C61A1E" w:rsidRPr="006D696C" w:rsidRDefault="00C61A1E" w:rsidP="00C61A1E">
            <w:pPr>
              <w:pStyle w:val="TAH"/>
              <w:spacing w:after="0"/>
              <w:rPr>
                <w:sz w:val="16"/>
              </w:rPr>
            </w:pPr>
            <w:r w:rsidRPr="006D696C">
              <w:rPr>
                <w:sz w:val="16"/>
              </w:rPr>
              <w:t>NR Slot length (ms)</w:t>
            </w:r>
          </w:p>
        </w:tc>
        <w:tc>
          <w:tcPr>
            <w:tcW w:w="3938" w:type="dxa"/>
            <w:gridSpan w:val="2"/>
            <w:vAlign w:val="center"/>
          </w:tcPr>
          <w:p w14:paraId="5DE76E34" w14:textId="2B6B444F" w:rsidR="00C61A1E" w:rsidRPr="006D696C" w:rsidRDefault="00C61A1E" w:rsidP="00C61A1E">
            <w:pPr>
              <w:pStyle w:val="TAH"/>
              <w:spacing w:after="0"/>
              <w:rPr>
                <w:sz w:val="16"/>
                <w:lang w:eastAsia="zh-CN"/>
              </w:rPr>
            </w:pPr>
            <w:r w:rsidRPr="006D696C">
              <w:rPr>
                <w:sz w:val="16"/>
                <w:lang w:eastAsia="zh-CN"/>
              </w:rPr>
              <w:t>BWP switch delay T</w:t>
            </w:r>
            <w:r w:rsidRPr="006D696C">
              <w:rPr>
                <w:sz w:val="16"/>
                <w:vertAlign w:val="subscript"/>
                <w:lang w:eastAsia="zh-CN"/>
              </w:rPr>
              <w:t>BWPswitchDelay</w:t>
            </w:r>
            <w:r w:rsidRPr="006D696C">
              <w:rPr>
                <w:sz w:val="16"/>
                <w:lang w:eastAsia="zh-CN"/>
              </w:rPr>
              <w:t xml:space="preserve"> (slots</w:t>
            </w:r>
            <w:r w:rsidR="00C14D2A" w:rsidRPr="006D696C">
              <w:rPr>
                <w:sz w:val="16"/>
                <w:lang w:eastAsia="zh-CN"/>
              </w:rPr>
              <w:t xml:space="preserve"> [ms]</w:t>
            </w:r>
            <w:r w:rsidRPr="006D696C">
              <w:rPr>
                <w:sz w:val="16"/>
                <w:lang w:eastAsia="zh-CN"/>
              </w:rPr>
              <w:t>)</w:t>
            </w:r>
          </w:p>
        </w:tc>
      </w:tr>
      <w:tr w:rsidR="00C61A1E" w:rsidRPr="006D696C" w14:paraId="30BFF0FE" w14:textId="77777777" w:rsidTr="00C61A1E">
        <w:trPr>
          <w:trHeight w:val="161"/>
          <w:jc w:val="center"/>
        </w:trPr>
        <w:tc>
          <w:tcPr>
            <w:tcW w:w="704" w:type="dxa"/>
            <w:vMerge/>
            <w:shd w:val="clear" w:color="auto" w:fill="auto"/>
            <w:vAlign w:val="center"/>
          </w:tcPr>
          <w:p w14:paraId="2A565055" w14:textId="77777777" w:rsidR="00C61A1E" w:rsidRPr="006D696C" w:rsidRDefault="00C61A1E" w:rsidP="00C61A1E">
            <w:pPr>
              <w:pStyle w:val="TAH"/>
              <w:spacing w:after="0"/>
              <w:rPr>
                <w:sz w:val="16"/>
              </w:rPr>
            </w:pPr>
          </w:p>
        </w:tc>
        <w:tc>
          <w:tcPr>
            <w:tcW w:w="1509" w:type="dxa"/>
            <w:vMerge/>
            <w:vAlign w:val="center"/>
          </w:tcPr>
          <w:p w14:paraId="4C549662" w14:textId="77777777" w:rsidR="00C61A1E" w:rsidRPr="006D696C" w:rsidRDefault="00C61A1E" w:rsidP="00C61A1E">
            <w:pPr>
              <w:pStyle w:val="TAH"/>
              <w:spacing w:after="0"/>
              <w:rPr>
                <w:sz w:val="16"/>
              </w:rPr>
            </w:pPr>
          </w:p>
        </w:tc>
        <w:tc>
          <w:tcPr>
            <w:tcW w:w="1969" w:type="dxa"/>
            <w:vAlign w:val="center"/>
          </w:tcPr>
          <w:p w14:paraId="641A0EB5" w14:textId="77777777" w:rsidR="00C61A1E" w:rsidRPr="006D696C" w:rsidRDefault="00C61A1E" w:rsidP="00C61A1E">
            <w:pPr>
              <w:pStyle w:val="TAH"/>
              <w:spacing w:after="0"/>
              <w:rPr>
                <w:sz w:val="16"/>
                <w:vertAlign w:val="superscript"/>
                <w:lang w:eastAsia="zh-CN"/>
              </w:rPr>
            </w:pPr>
            <w:r w:rsidRPr="006D696C">
              <w:rPr>
                <w:sz w:val="16"/>
                <w:lang w:eastAsia="zh-CN"/>
              </w:rPr>
              <w:t>Type 1</w:t>
            </w:r>
            <w:r w:rsidRPr="006D696C">
              <w:rPr>
                <w:sz w:val="16"/>
                <w:vertAlign w:val="superscript"/>
                <w:lang w:eastAsia="zh-CN"/>
              </w:rPr>
              <w:t>Note 1</w:t>
            </w:r>
          </w:p>
        </w:tc>
        <w:tc>
          <w:tcPr>
            <w:tcW w:w="1969" w:type="dxa"/>
          </w:tcPr>
          <w:p w14:paraId="56B31F2D" w14:textId="77777777" w:rsidR="00C61A1E" w:rsidRPr="006D696C" w:rsidRDefault="00C61A1E" w:rsidP="00C61A1E">
            <w:pPr>
              <w:pStyle w:val="TAH"/>
              <w:spacing w:after="0"/>
              <w:rPr>
                <w:sz w:val="16"/>
                <w:vertAlign w:val="superscript"/>
                <w:lang w:eastAsia="zh-CN"/>
              </w:rPr>
            </w:pPr>
            <w:r w:rsidRPr="006D696C">
              <w:rPr>
                <w:sz w:val="16"/>
                <w:lang w:eastAsia="zh-CN"/>
              </w:rPr>
              <w:t>Type 2</w:t>
            </w:r>
            <w:r w:rsidRPr="006D696C">
              <w:rPr>
                <w:sz w:val="16"/>
                <w:vertAlign w:val="superscript"/>
                <w:lang w:eastAsia="zh-CN"/>
              </w:rPr>
              <w:t>Note 1</w:t>
            </w:r>
          </w:p>
        </w:tc>
      </w:tr>
      <w:tr w:rsidR="00C61A1E" w:rsidRPr="006D696C" w:rsidDel="00FC0501" w14:paraId="5ACF2E37" w14:textId="77777777" w:rsidTr="00C61A1E">
        <w:trPr>
          <w:jc w:val="center"/>
        </w:trPr>
        <w:tc>
          <w:tcPr>
            <w:tcW w:w="704" w:type="dxa"/>
            <w:shd w:val="clear" w:color="auto" w:fill="auto"/>
            <w:vAlign w:val="center"/>
          </w:tcPr>
          <w:p w14:paraId="4E8D0C7A" w14:textId="77777777" w:rsidR="00C61A1E" w:rsidRPr="006D696C" w:rsidRDefault="00C61A1E" w:rsidP="00C61A1E">
            <w:pPr>
              <w:pStyle w:val="TAC"/>
              <w:spacing w:after="0"/>
              <w:rPr>
                <w:sz w:val="16"/>
              </w:rPr>
            </w:pPr>
            <w:r w:rsidRPr="006D696C">
              <w:rPr>
                <w:sz w:val="16"/>
              </w:rPr>
              <w:t>0</w:t>
            </w:r>
          </w:p>
        </w:tc>
        <w:tc>
          <w:tcPr>
            <w:tcW w:w="1509" w:type="dxa"/>
            <w:vAlign w:val="center"/>
          </w:tcPr>
          <w:p w14:paraId="142473BF" w14:textId="77777777" w:rsidR="00C61A1E" w:rsidRPr="006D696C" w:rsidRDefault="00C61A1E" w:rsidP="00C61A1E">
            <w:pPr>
              <w:pStyle w:val="TAC"/>
              <w:spacing w:after="0"/>
              <w:rPr>
                <w:sz w:val="16"/>
              </w:rPr>
            </w:pPr>
            <w:r w:rsidRPr="006D696C">
              <w:rPr>
                <w:sz w:val="16"/>
              </w:rPr>
              <w:t>1</w:t>
            </w:r>
          </w:p>
        </w:tc>
        <w:tc>
          <w:tcPr>
            <w:tcW w:w="1969" w:type="dxa"/>
            <w:shd w:val="clear" w:color="auto" w:fill="auto"/>
            <w:vAlign w:val="center"/>
          </w:tcPr>
          <w:p w14:paraId="55792E8B" w14:textId="7D987FDA" w:rsidR="00C61A1E" w:rsidRPr="006D696C" w:rsidRDefault="00C61A1E" w:rsidP="00C61A1E">
            <w:pPr>
              <w:pStyle w:val="TAC"/>
              <w:spacing w:after="0"/>
              <w:rPr>
                <w:sz w:val="16"/>
              </w:rPr>
            </w:pPr>
            <w:r w:rsidRPr="006D696C">
              <w:rPr>
                <w:sz w:val="16"/>
              </w:rPr>
              <w:t>1</w:t>
            </w:r>
            <w:r w:rsidR="00C14D2A" w:rsidRPr="006D696C">
              <w:rPr>
                <w:sz w:val="16"/>
              </w:rPr>
              <w:t xml:space="preserve"> [1]</w:t>
            </w:r>
          </w:p>
        </w:tc>
        <w:tc>
          <w:tcPr>
            <w:tcW w:w="1969" w:type="dxa"/>
          </w:tcPr>
          <w:p w14:paraId="24FB6144" w14:textId="3D9CB4E2" w:rsidR="00C61A1E" w:rsidRPr="006D696C" w:rsidRDefault="00C61A1E" w:rsidP="00C61A1E">
            <w:pPr>
              <w:pStyle w:val="TAC"/>
              <w:spacing w:after="0"/>
              <w:rPr>
                <w:sz w:val="16"/>
              </w:rPr>
            </w:pPr>
            <w:r w:rsidRPr="006D696C">
              <w:rPr>
                <w:sz w:val="16"/>
              </w:rPr>
              <w:t>3</w:t>
            </w:r>
            <w:r w:rsidR="00C14D2A" w:rsidRPr="006D696C">
              <w:rPr>
                <w:sz w:val="16"/>
              </w:rPr>
              <w:t xml:space="preserve"> [3]</w:t>
            </w:r>
          </w:p>
        </w:tc>
      </w:tr>
      <w:tr w:rsidR="00C61A1E" w:rsidRPr="006D696C" w:rsidDel="00FC0501" w14:paraId="7C40EE4F" w14:textId="77777777" w:rsidTr="00C61A1E">
        <w:trPr>
          <w:jc w:val="center"/>
        </w:trPr>
        <w:tc>
          <w:tcPr>
            <w:tcW w:w="704" w:type="dxa"/>
            <w:shd w:val="clear" w:color="auto" w:fill="auto"/>
            <w:vAlign w:val="center"/>
          </w:tcPr>
          <w:p w14:paraId="592CDCE1" w14:textId="77777777" w:rsidR="00C61A1E" w:rsidRPr="006D696C" w:rsidRDefault="00C61A1E" w:rsidP="00C61A1E">
            <w:pPr>
              <w:pStyle w:val="TAC"/>
              <w:spacing w:after="0"/>
              <w:rPr>
                <w:sz w:val="16"/>
              </w:rPr>
            </w:pPr>
            <w:r w:rsidRPr="006D696C">
              <w:rPr>
                <w:sz w:val="16"/>
              </w:rPr>
              <w:t>1</w:t>
            </w:r>
          </w:p>
        </w:tc>
        <w:tc>
          <w:tcPr>
            <w:tcW w:w="1509" w:type="dxa"/>
            <w:vAlign w:val="center"/>
          </w:tcPr>
          <w:p w14:paraId="292288F8" w14:textId="77777777" w:rsidR="00C61A1E" w:rsidRPr="006D696C" w:rsidRDefault="00C61A1E" w:rsidP="00C61A1E">
            <w:pPr>
              <w:pStyle w:val="TAC"/>
              <w:spacing w:after="0"/>
              <w:rPr>
                <w:sz w:val="16"/>
              </w:rPr>
            </w:pPr>
            <w:r w:rsidRPr="006D696C">
              <w:rPr>
                <w:sz w:val="16"/>
              </w:rPr>
              <w:t>0.5</w:t>
            </w:r>
          </w:p>
        </w:tc>
        <w:tc>
          <w:tcPr>
            <w:tcW w:w="1969" w:type="dxa"/>
            <w:shd w:val="clear" w:color="auto" w:fill="auto"/>
            <w:vAlign w:val="center"/>
          </w:tcPr>
          <w:p w14:paraId="2CED54C8" w14:textId="32553641" w:rsidR="00C61A1E" w:rsidRPr="006D696C" w:rsidRDefault="00C61A1E" w:rsidP="00C61A1E">
            <w:pPr>
              <w:pStyle w:val="TAC"/>
              <w:spacing w:after="0"/>
              <w:rPr>
                <w:sz w:val="16"/>
              </w:rPr>
            </w:pPr>
            <w:r w:rsidRPr="006D696C">
              <w:rPr>
                <w:sz w:val="16"/>
              </w:rPr>
              <w:t>2</w:t>
            </w:r>
            <w:r w:rsidR="00C14D2A" w:rsidRPr="006D696C">
              <w:rPr>
                <w:sz w:val="16"/>
              </w:rPr>
              <w:t xml:space="preserve"> [1]</w:t>
            </w:r>
          </w:p>
        </w:tc>
        <w:tc>
          <w:tcPr>
            <w:tcW w:w="1969" w:type="dxa"/>
          </w:tcPr>
          <w:p w14:paraId="27DA4976" w14:textId="3FD40490" w:rsidR="00C61A1E" w:rsidRPr="006D696C" w:rsidRDefault="00C61A1E" w:rsidP="00C61A1E">
            <w:pPr>
              <w:pStyle w:val="TAC"/>
              <w:spacing w:after="0"/>
              <w:rPr>
                <w:sz w:val="16"/>
              </w:rPr>
            </w:pPr>
            <w:r w:rsidRPr="006D696C">
              <w:rPr>
                <w:sz w:val="16"/>
              </w:rPr>
              <w:t>5</w:t>
            </w:r>
            <w:r w:rsidR="00C14D2A" w:rsidRPr="006D696C">
              <w:rPr>
                <w:sz w:val="16"/>
              </w:rPr>
              <w:t xml:space="preserve"> [2.5]</w:t>
            </w:r>
          </w:p>
        </w:tc>
      </w:tr>
      <w:tr w:rsidR="00C61A1E" w:rsidRPr="006D696C" w:rsidDel="00FC0501" w14:paraId="7599600C" w14:textId="77777777" w:rsidTr="00C61A1E">
        <w:trPr>
          <w:jc w:val="center"/>
        </w:trPr>
        <w:tc>
          <w:tcPr>
            <w:tcW w:w="704" w:type="dxa"/>
            <w:shd w:val="clear" w:color="auto" w:fill="auto"/>
            <w:vAlign w:val="center"/>
          </w:tcPr>
          <w:p w14:paraId="6203409D" w14:textId="77777777" w:rsidR="00C61A1E" w:rsidRPr="006D696C" w:rsidRDefault="00C61A1E" w:rsidP="00C61A1E">
            <w:pPr>
              <w:pStyle w:val="TAC"/>
              <w:spacing w:after="0"/>
              <w:rPr>
                <w:sz w:val="16"/>
              </w:rPr>
            </w:pPr>
            <w:r w:rsidRPr="006D696C">
              <w:rPr>
                <w:sz w:val="16"/>
              </w:rPr>
              <w:t>2</w:t>
            </w:r>
          </w:p>
        </w:tc>
        <w:tc>
          <w:tcPr>
            <w:tcW w:w="1509" w:type="dxa"/>
            <w:vAlign w:val="center"/>
          </w:tcPr>
          <w:p w14:paraId="31D2A0E0" w14:textId="77777777" w:rsidR="00C61A1E" w:rsidRPr="006D696C" w:rsidRDefault="00C61A1E" w:rsidP="00C61A1E">
            <w:pPr>
              <w:pStyle w:val="TAC"/>
              <w:spacing w:after="0"/>
              <w:rPr>
                <w:sz w:val="16"/>
              </w:rPr>
            </w:pPr>
            <w:r w:rsidRPr="006D696C">
              <w:rPr>
                <w:sz w:val="16"/>
              </w:rPr>
              <w:t>0.25</w:t>
            </w:r>
          </w:p>
        </w:tc>
        <w:tc>
          <w:tcPr>
            <w:tcW w:w="1969" w:type="dxa"/>
            <w:shd w:val="clear" w:color="auto" w:fill="auto"/>
            <w:vAlign w:val="center"/>
          </w:tcPr>
          <w:p w14:paraId="7872830B" w14:textId="010A3CC7" w:rsidR="00C61A1E" w:rsidRPr="006D696C" w:rsidRDefault="00C61A1E" w:rsidP="00C61A1E">
            <w:pPr>
              <w:pStyle w:val="TAC"/>
              <w:spacing w:after="0"/>
              <w:rPr>
                <w:sz w:val="16"/>
              </w:rPr>
            </w:pPr>
            <w:r w:rsidRPr="006D696C">
              <w:rPr>
                <w:sz w:val="16"/>
              </w:rPr>
              <w:t>3</w:t>
            </w:r>
            <w:r w:rsidR="00C14D2A" w:rsidRPr="006D696C">
              <w:rPr>
                <w:sz w:val="16"/>
              </w:rPr>
              <w:t xml:space="preserve"> [0.75]</w:t>
            </w:r>
          </w:p>
        </w:tc>
        <w:tc>
          <w:tcPr>
            <w:tcW w:w="1969" w:type="dxa"/>
          </w:tcPr>
          <w:p w14:paraId="5C1A3CBF" w14:textId="33FD5C36" w:rsidR="00C61A1E" w:rsidRPr="006D696C" w:rsidRDefault="00C61A1E" w:rsidP="00C61A1E">
            <w:pPr>
              <w:pStyle w:val="TAC"/>
              <w:spacing w:after="0"/>
              <w:rPr>
                <w:sz w:val="16"/>
              </w:rPr>
            </w:pPr>
            <w:r w:rsidRPr="006D696C">
              <w:rPr>
                <w:sz w:val="16"/>
              </w:rPr>
              <w:t>9</w:t>
            </w:r>
            <w:r w:rsidR="00C14D2A" w:rsidRPr="006D696C">
              <w:rPr>
                <w:sz w:val="16"/>
              </w:rPr>
              <w:t xml:space="preserve"> [2.25]</w:t>
            </w:r>
          </w:p>
        </w:tc>
      </w:tr>
      <w:tr w:rsidR="00C61A1E" w:rsidRPr="006D696C" w:rsidDel="00FC0501" w14:paraId="51853434" w14:textId="77777777" w:rsidTr="00C61A1E">
        <w:trPr>
          <w:jc w:val="center"/>
        </w:trPr>
        <w:tc>
          <w:tcPr>
            <w:tcW w:w="704" w:type="dxa"/>
            <w:shd w:val="clear" w:color="auto" w:fill="auto"/>
            <w:vAlign w:val="center"/>
          </w:tcPr>
          <w:p w14:paraId="1806A572" w14:textId="77777777" w:rsidR="00C61A1E" w:rsidRPr="006D696C" w:rsidRDefault="00C61A1E" w:rsidP="00C61A1E">
            <w:pPr>
              <w:pStyle w:val="TAC"/>
              <w:spacing w:after="0"/>
              <w:rPr>
                <w:sz w:val="16"/>
              </w:rPr>
            </w:pPr>
            <w:r w:rsidRPr="006D696C">
              <w:rPr>
                <w:sz w:val="16"/>
              </w:rPr>
              <w:t>3</w:t>
            </w:r>
          </w:p>
        </w:tc>
        <w:tc>
          <w:tcPr>
            <w:tcW w:w="1509" w:type="dxa"/>
            <w:vAlign w:val="center"/>
          </w:tcPr>
          <w:p w14:paraId="5205CE45" w14:textId="77777777" w:rsidR="00C61A1E" w:rsidRPr="006D696C" w:rsidRDefault="00C61A1E" w:rsidP="00C61A1E">
            <w:pPr>
              <w:pStyle w:val="TAC"/>
              <w:spacing w:after="0"/>
              <w:rPr>
                <w:sz w:val="16"/>
              </w:rPr>
            </w:pPr>
            <w:r w:rsidRPr="006D696C">
              <w:rPr>
                <w:sz w:val="16"/>
              </w:rPr>
              <w:t>0.125</w:t>
            </w:r>
          </w:p>
        </w:tc>
        <w:tc>
          <w:tcPr>
            <w:tcW w:w="1969" w:type="dxa"/>
            <w:shd w:val="clear" w:color="auto" w:fill="auto"/>
            <w:vAlign w:val="center"/>
          </w:tcPr>
          <w:p w14:paraId="43C70E53" w14:textId="6DBB1836" w:rsidR="00C61A1E" w:rsidRPr="006D696C" w:rsidRDefault="00C61A1E" w:rsidP="00C61A1E">
            <w:pPr>
              <w:pStyle w:val="TAC"/>
              <w:spacing w:after="0"/>
              <w:rPr>
                <w:sz w:val="16"/>
              </w:rPr>
            </w:pPr>
            <w:r w:rsidRPr="006D696C">
              <w:rPr>
                <w:sz w:val="16"/>
              </w:rPr>
              <w:t>6</w:t>
            </w:r>
            <w:r w:rsidR="00C14D2A" w:rsidRPr="006D696C">
              <w:rPr>
                <w:sz w:val="16"/>
              </w:rPr>
              <w:t xml:space="preserve"> [0.75]</w:t>
            </w:r>
          </w:p>
        </w:tc>
        <w:tc>
          <w:tcPr>
            <w:tcW w:w="1969" w:type="dxa"/>
          </w:tcPr>
          <w:p w14:paraId="467D5726" w14:textId="7AFF9531" w:rsidR="00C61A1E" w:rsidRPr="006D696C" w:rsidRDefault="00C61A1E" w:rsidP="00C14D2A">
            <w:pPr>
              <w:pStyle w:val="TAC"/>
              <w:spacing w:after="0"/>
              <w:rPr>
                <w:sz w:val="16"/>
              </w:rPr>
            </w:pPr>
            <w:r w:rsidRPr="006D696C">
              <w:rPr>
                <w:sz w:val="16"/>
              </w:rPr>
              <w:t>18</w:t>
            </w:r>
            <w:r w:rsidR="00C14D2A" w:rsidRPr="006D696C">
              <w:rPr>
                <w:sz w:val="16"/>
              </w:rPr>
              <w:t xml:space="preserve"> [2.25]</w:t>
            </w:r>
          </w:p>
        </w:tc>
      </w:tr>
      <w:tr w:rsidR="00C61A1E" w:rsidRPr="006D696C" w:rsidDel="00FC0501" w14:paraId="5EEB99AC" w14:textId="77777777" w:rsidTr="00C61A1E">
        <w:trPr>
          <w:jc w:val="center"/>
        </w:trPr>
        <w:tc>
          <w:tcPr>
            <w:tcW w:w="6151" w:type="dxa"/>
            <w:gridSpan w:val="4"/>
            <w:shd w:val="clear" w:color="auto" w:fill="auto"/>
            <w:vAlign w:val="center"/>
          </w:tcPr>
          <w:p w14:paraId="7E30A234" w14:textId="77777777" w:rsidR="00C61A1E" w:rsidRPr="006D696C" w:rsidRDefault="00C61A1E" w:rsidP="00C61A1E">
            <w:pPr>
              <w:pStyle w:val="TAN"/>
              <w:spacing w:after="0"/>
              <w:rPr>
                <w:sz w:val="16"/>
              </w:rPr>
            </w:pPr>
            <w:r w:rsidRPr="006D696C">
              <w:rPr>
                <w:sz w:val="16"/>
              </w:rPr>
              <w:t>Note 1:</w:t>
            </w:r>
            <w:r w:rsidRPr="006D696C">
              <w:rPr>
                <w:sz w:val="16"/>
              </w:rPr>
              <w:tab/>
              <w:t>Depends on UE capability.</w:t>
            </w:r>
          </w:p>
          <w:p w14:paraId="2ACB93A3" w14:textId="77777777" w:rsidR="00C61A1E" w:rsidRPr="006D696C" w:rsidRDefault="00C61A1E" w:rsidP="00C61A1E">
            <w:pPr>
              <w:pStyle w:val="TAN"/>
              <w:spacing w:after="0"/>
              <w:rPr>
                <w:sz w:val="16"/>
              </w:rPr>
            </w:pPr>
            <w:r w:rsidRPr="006D696C">
              <w:rPr>
                <w:sz w:val="16"/>
              </w:rPr>
              <w:t>Note 2:</w:t>
            </w:r>
            <w:r w:rsidRPr="006D696C">
              <w:rPr>
                <w:sz w:val="16"/>
              </w:rPr>
              <w:tab/>
              <w:t>If the BWP switch involves changing of SCS, the BWP switch delay is determined by the smaller SCS between the SCS before BWP switch and the SCS after BWP switch.</w:t>
            </w:r>
          </w:p>
        </w:tc>
      </w:tr>
    </w:tbl>
    <w:p w14:paraId="14673549" w14:textId="77777777" w:rsidR="00C61A1E" w:rsidRPr="00C61A1E" w:rsidRDefault="00C61A1E" w:rsidP="0061709C">
      <w:pPr>
        <w:rPr>
          <w:lang w:eastAsia="en-US"/>
        </w:rPr>
      </w:pPr>
    </w:p>
    <w:p w14:paraId="5480BE29" w14:textId="22040C6B" w:rsidR="00E202BC" w:rsidRPr="00E202BC" w:rsidRDefault="00C14D2A" w:rsidP="00E202BC">
      <w:pPr>
        <w:jc w:val="both"/>
        <w:rPr>
          <w:sz w:val="20"/>
          <w:szCs w:val="20"/>
          <w:lang w:val="en-GB"/>
        </w:rPr>
      </w:pPr>
      <w:r w:rsidRPr="00E202BC">
        <w:rPr>
          <w:sz w:val="20"/>
          <w:szCs w:val="20"/>
          <w:lang w:val="en-GB"/>
        </w:rPr>
        <w:t xml:space="preserve">According to current requirements, UE is not required to receive or transmit signals during the switch delay on a carrier which BWP switch occurs. </w:t>
      </w:r>
      <w:r w:rsidR="002D06A4" w:rsidRPr="00E202BC">
        <w:rPr>
          <w:sz w:val="20"/>
          <w:szCs w:val="20"/>
          <w:lang w:val="en-GB"/>
        </w:rPr>
        <w:t xml:space="preserve">That means for 60KHz and 120KHz SCS, there </w:t>
      </w:r>
      <w:r w:rsidR="007E262B" w:rsidRPr="00E202BC">
        <w:rPr>
          <w:sz w:val="20"/>
          <w:szCs w:val="20"/>
          <w:lang w:val="en-GB"/>
        </w:rPr>
        <w:t>are</w:t>
      </w:r>
      <w:r w:rsidR="002D06A4" w:rsidRPr="00E202BC">
        <w:rPr>
          <w:sz w:val="20"/>
          <w:szCs w:val="20"/>
          <w:lang w:val="en-GB"/>
        </w:rPr>
        <w:t xml:space="preserve"> going be 8 and 17 slots service </w:t>
      </w:r>
      <w:r w:rsidR="00BA1049" w:rsidRPr="00E202BC">
        <w:rPr>
          <w:sz w:val="20"/>
          <w:szCs w:val="20"/>
          <w:lang w:val="en-GB"/>
        </w:rPr>
        <w:t xml:space="preserve">suspended </w:t>
      </w:r>
      <w:r w:rsidR="002D06A4" w:rsidRPr="00E202BC">
        <w:rPr>
          <w:sz w:val="20"/>
          <w:szCs w:val="20"/>
          <w:lang w:val="en-GB"/>
        </w:rPr>
        <w:t xml:space="preserve">during BWP switch, respectively. These intervals of zero throughput </w:t>
      </w:r>
      <w:r w:rsidR="00E732C9" w:rsidRPr="00E202BC">
        <w:rPr>
          <w:sz w:val="20"/>
          <w:szCs w:val="20"/>
          <w:lang w:val="en-GB"/>
        </w:rPr>
        <w:t>on carrier</w:t>
      </w:r>
      <w:r w:rsidR="00314AE4" w:rsidRPr="00E202BC">
        <w:rPr>
          <w:sz w:val="20"/>
          <w:szCs w:val="20"/>
          <w:lang w:val="en-GB"/>
        </w:rPr>
        <w:t>s</w:t>
      </w:r>
      <w:r w:rsidR="00E732C9" w:rsidRPr="00E202BC">
        <w:rPr>
          <w:sz w:val="20"/>
          <w:szCs w:val="20"/>
          <w:lang w:val="en-GB"/>
        </w:rPr>
        <w:t xml:space="preserve"> which BWP switch occurs </w:t>
      </w:r>
      <w:r w:rsidR="002D06A4" w:rsidRPr="00E202BC">
        <w:rPr>
          <w:sz w:val="20"/>
          <w:szCs w:val="20"/>
          <w:lang w:val="en-GB"/>
        </w:rPr>
        <w:t xml:space="preserve">is illustrated in </w:t>
      </w:r>
      <w:r w:rsidR="002D06A4" w:rsidRPr="00E202BC">
        <w:rPr>
          <w:sz w:val="20"/>
          <w:szCs w:val="20"/>
          <w:lang w:val="en-GB"/>
        </w:rPr>
        <w:fldChar w:fldCharType="begin"/>
      </w:r>
      <w:r w:rsidR="002D06A4" w:rsidRPr="00E202BC">
        <w:rPr>
          <w:sz w:val="20"/>
          <w:szCs w:val="20"/>
          <w:lang w:val="en-GB"/>
        </w:rPr>
        <w:instrText xml:space="preserve"> REF _Ref31822825 \h </w:instrText>
      </w:r>
      <w:r w:rsidR="006D696C" w:rsidRPr="00E202BC">
        <w:rPr>
          <w:sz w:val="20"/>
          <w:szCs w:val="20"/>
          <w:lang w:val="en-GB"/>
        </w:rPr>
        <w:instrText xml:space="preserve"> \* MERGEFORMAT </w:instrText>
      </w:r>
      <w:r w:rsidR="002D06A4" w:rsidRPr="00E202BC">
        <w:rPr>
          <w:sz w:val="20"/>
          <w:szCs w:val="20"/>
          <w:lang w:val="en-GB"/>
        </w:rPr>
      </w:r>
      <w:r w:rsidR="002D06A4" w:rsidRPr="00E202BC">
        <w:rPr>
          <w:sz w:val="20"/>
          <w:szCs w:val="20"/>
          <w:lang w:val="en-GB"/>
        </w:rPr>
        <w:fldChar w:fldCharType="separate"/>
      </w:r>
      <w:r w:rsidR="00451134" w:rsidRPr="00451134">
        <w:rPr>
          <w:sz w:val="20"/>
          <w:szCs w:val="20"/>
        </w:rPr>
        <w:t xml:space="preserve">Figure </w:t>
      </w:r>
      <w:r w:rsidR="00451134" w:rsidRPr="00451134">
        <w:rPr>
          <w:noProof/>
          <w:sz w:val="20"/>
          <w:szCs w:val="20"/>
        </w:rPr>
        <w:t>2</w:t>
      </w:r>
      <w:r w:rsidR="002D06A4" w:rsidRPr="00E202BC">
        <w:rPr>
          <w:sz w:val="20"/>
          <w:szCs w:val="20"/>
          <w:lang w:val="en-GB"/>
        </w:rPr>
        <w:fldChar w:fldCharType="end"/>
      </w:r>
      <w:r w:rsidR="002D06A4" w:rsidRPr="00E202BC">
        <w:rPr>
          <w:sz w:val="20"/>
          <w:szCs w:val="20"/>
          <w:lang w:val="en-GB"/>
        </w:rPr>
        <w:t>. These intervals of zero throughput are obvious not desirable for the system. It is worthwhile to study the possibility of some enhancement to reduce the throughput loss</w:t>
      </w:r>
      <w:r w:rsidR="00B02977" w:rsidRPr="00E202BC">
        <w:rPr>
          <w:sz w:val="20"/>
          <w:szCs w:val="20"/>
          <w:lang w:val="en-GB"/>
        </w:rPr>
        <w:t xml:space="preserve"> by having shorter switch delay</w:t>
      </w:r>
      <w:r w:rsidR="002D06A4" w:rsidRPr="00E202BC">
        <w:rPr>
          <w:sz w:val="20"/>
          <w:szCs w:val="20"/>
          <w:lang w:val="en-GB"/>
        </w:rPr>
        <w:t xml:space="preserve">. </w:t>
      </w:r>
    </w:p>
    <w:p w14:paraId="099021F9" w14:textId="2CBE3FC5" w:rsidR="00B02977" w:rsidRPr="006D696C" w:rsidRDefault="00B02977" w:rsidP="0021785F">
      <w:pPr>
        <w:pStyle w:val="af0"/>
        <w:jc w:val="both"/>
        <w:rPr>
          <w:rFonts w:eastAsia="PMingLiU"/>
          <w:lang w:val="en-GB" w:eastAsia="zh-TW"/>
        </w:rPr>
      </w:pPr>
      <w:bookmarkStart w:id="4" w:name="_Ref31828130"/>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451134">
        <w:rPr>
          <w:noProof/>
        </w:rPr>
        <w:t>3</w:t>
      </w:r>
      <w:r w:rsidR="00387496">
        <w:rPr>
          <w:noProof/>
        </w:rPr>
        <w:fldChar w:fldCharType="end"/>
      </w:r>
      <w:r w:rsidRPr="006D696C">
        <w:t>: Study the feasibility to introduce a shorter DCI-based BWP switch delay</w:t>
      </w:r>
      <w:r w:rsidR="0021785F">
        <w:rPr>
          <w:lang w:val="en-US"/>
        </w:rPr>
        <w:t xml:space="preserve"> for FR2</w:t>
      </w:r>
      <w:r w:rsidRPr="006D696C">
        <w:t>. Introduce the corresponding requirement, if concluded feasible.</w:t>
      </w:r>
      <w:bookmarkEnd w:id="4"/>
    </w:p>
    <w:p w14:paraId="6B2615E0" w14:textId="77777777" w:rsidR="002D06A4" w:rsidRDefault="002D06A4" w:rsidP="0061709C">
      <w:pPr>
        <w:rPr>
          <w:lang w:val="en-GB" w:eastAsia="en-US"/>
        </w:rPr>
      </w:pPr>
    </w:p>
    <w:p w14:paraId="4D519111" w14:textId="219CFB63" w:rsidR="002D06A4" w:rsidRDefault="002D06A4" w:rsidP="002D06A4">
      <w:pPr>
        <w:jc w:val="center"/>
        <w:rPr>
          <w:lang w:val="en-GB" w:eastAsia="en-US"/>
        </w:rPr>
      </w:pPr>
      <w:r w:rsidRPr="002D06A4">
        <w:rPr>
          <w:noProof/>
        </w:rPr>
        <w:lastRenderedPageBreak/>
        <w:drawing>
          <wp:inline distT="0" distB="0" distL="0" distR="0" wp14:anchorId="6255E986" wp14:editId="1638C62E">
            <wp:extent cx="5594959" cy="12879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9218" cy="1291254"/>
                    </a:xfrm>
                    <a:prstGeom prst="rect">
                      <a:avLst/>
                    </a:prstGeom>
                    <a:noFill/>
                    <a:ln>
                      <a:noFill/>
                    </a:ln>
                  </pic:spPr>
                </pic:pic>
              </a:graphicData>
            </a:graphic>
          </wp:inline>
        </w:drawing>
      </w:r>
    </w:p>
    <w:p w14:paraId="60A28A52" w14:textId="2848D378" w:rsidR="002D06A4" w:rsidRPr="002D06A4" w:rsidRDefault="002D06A4" w:rsidP="002D06A4">
      <w:pPr>
        <w:pStyle w:val="af0"/>
        <w:jc w:val="center"/>
        <w:rPr>
          <w:lang w:val="en-US" w:eastAsia="en-US"/>
        </w:rPr>
      </w:pPr>
      <w:bookmarkStart w:id="5" w:name="_Ref318228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451134">
        <w:rPr>
          <w:noProof/>
        </w:rPr>
        <w:t>2</w:t>
      </w:r>
      <w:r w:rsidR="00387496">
        <w:rPr>
          <w:noProof/>
        </w:rPr>
        <w:fldChar w:fldCharType="end"/>
      </w:r>
      <w:bookmarkEnd w:id="5"/>
      <w:r>
        <w:rPr>
          <w:lang w:val="en-US"/>
        </w:rPr>
        <w:t xml:space="preserve">. Intervals of zero throughput during BWP switch on FR2 carriers with </w:t>
      </w:r>
      <w:r>
        <w:rPr>
          <w:lang w:val="en-GB" w:eastAsia="en-US"/>
        </w:rPr>
        <w:t>60KHz and 120KHz SCS</w:t>
      </w:r>
    </w:p>
    <w:p w14:paraId="6B5F6EF1" w14:textId="77777777" w:rsidR="00C14D2A" w:rsidRPr="0061709C" w:rsidRDefault="00C14D2A" w:rsidP="0061709C">
      <w:pPr>
        <w:rPr>
          <w:lang w:val="en-GB" w:eastAsia="en-US"/>
        </w:rPr>
      </w:pPr>
    </w:p>
    <w:p w14:paraId="218A0E59" w14:textId="0163BE93" w:rsidR="009B0081" w:rsidRDefault="009B0081" w:rsidP="009B0081">
      <w:pPr>
        <w:pStyle w:val="2"/>
      </w:pPr>
      <w:r>
        <w:t>2.4 Enhanced utilization of UL slot</w:t>
      </w:r>
      <w:r w:rsidR="00202921">
        <w:t xml:space="preserve">s before and </w:t>
      </w:r>
      <w:r>
        <w:t>after measurement gap</w:t>
      </w:r>
    </w:p>
    <w:p w14:paraId="79CBF5DD" w14:textId="1B7F36A7" w:rsidR="00B02977" w:rsidRPr="006D696C" w:rsidRDefault="00B02977" w:rsidP="008756B2">
      <w:pPr>
        <w:jc w:val="both"/>
        <w:rPr>
          <w:sz w:val="20"/>
          <w:szCs w:val="20"/>
          <w:lang w:val="en-GB" w:eastAsia="en-US"/>
        </w:rPr>
      </w:pPr>
      <w:r w:rsidRPr="006D696C">
        <w:rPr>
          <w:sz w:val="20"/>
          <w:szCs w:val="20"/>
          <w:lang w:eastAsia="en-US"/>
        </w:rPr>
        <w:t>In Rel-15, RAN4 introduce</w:t>
      </w:r>
      <w:r w:rsidR="00384039">
        <w:rPr>
          <w:sz w:val="20"/>
          <w:szCs w:val="20"/>
          <w:lang w:eastAsia="en-US"/>
        </w:rPr>
        <w:t>d</w:t>
      </w:r>
      <w:r w:rsidRPr="006D696C">
        <w:rPr>
          <w:sz w:val="20"/>
          <w:szCs w:val="20"/>
          <w:lang w:eastAsia="en-US"/>
        </w:rPr>
        <w:t xml:space="preserve"> the requirement of </w:t>
      </w:r>
      <w:r w:rsidR="00A3326F" w:rsidRPr="006D696C">
        <w:rPr>
          <w:sz w:val="20"/>
          <w:szCs w:val="20"/>
          <w:lang w:eastAsia="en-US"/>
        </w:rPr>
        <w:t xml:space="preserve">measurement </w:t>
      </w:r>
      <w:r w:rsidRPr="006D696C">
        <w:rPr>
          <w:sz w:val="20"/>
          <w:szCs w:val="20"/>
          <w:lang w:eastAsia="en-US"/>
        </w:rPr>
        <w:t>gap interruption to create a common understanding between UE and network on whether the slots can</w:t>
      </w:r>
      <w:r w:rsidR="00A3326F" w:rsidRPr="006D696C">
        <w:rPr>
          <w:sz w:val="20"/>
          <w:szCs w:val="20"/>
          <w:lang w:eastAsia="en-US"/>
        </w:rPr>
        <w:t>not</w:t>
      </w:r>
      <w:r w:rsidRPr="006D696C">
        <w:rPr>
          <w:sz w:val="20"/>
          <w:szCs w:val="20"/>
          <w:lang w:eastAsia="en-US"/>
        </w:rPr>
        <w:t xml:space="preserve"> be used for data transmission and reception. The reference timing of measurement gap has been </w:t>
      </w:r>
      <w:r w:rsidR="00A3326F" w:rsidRPr="006D696C">
        <w:rPr>
          <w:sz w:val="20"/>
          <w:szCs w:val="20"/>
          <w:lang w:eastAsia="en-US"/>
        </w:rPr>
        <w:t xml:space="preserve">agreed to follow </w:t>
      </w:r>
      <w:r w:rsidRPr="006D696C">
        <w:rPr>
          <w:sz w:val="20"/>
          <w:szCs w:val="20"/>
          <w:lang w:eastAsia="en-US"/>
        </w:rPr>
        <w:t>the DL subframe timing. (E.g., Note 4</w:t>
      </w:r>
      <w:r w:rsidR="00A3326F" w:rsidRPr="006D696C">
        <w:rPr>
          <w:sz w:val="20"/>
          <w:szCs w:val="20"/>
          <w:lang w:eastAsia="en-US"/>
        </w:rPr>
        <w:t xml:space="preserve"> in Table 9.1.2-3 of TS38.133). However, f</w:t>
      </w:r>
      <w:r w:rsidRPr="006D696C">
        <w:rPr>
          <w:sz w:val="20"/>
          <w:szCs w:val="20"/>
          <w:lang w:eastAsia="en-US"/>
        </w:rPr>
        <w:t xml:space="preserve">or TDD carrier with timing advance, UL slot boundary would </w:t>
      </w:r>
      <w:r w:rsidR="00A3326F" w:rsidRPr="006D696C">
        <w:rPr>
          <w:sz w:val="20"/>
          <w:szCs w:val="20"/>
          <w:lang w:eastAsia="en-US"/>
        </w:rPr>
        <w:t>be advanced and may not</w:t>
      </w:r>
      <w:r w:rsidRPr="006D696C">
        <w:rPr>
          <w:sz w:val="20"/>
          <w:szCs w:val="20"/>
          <w:lang w:eastAsia="en-US"/>
        </w:rPr>
        <w:t xml:space="preserve"> align with DL slot. </w:t>
      </w:r>
      <w:r w:rsidR="008756B2" w:rsidRPr="006D696C">
        <w:rPr>
          <w:sz w:val="20"/>
          <w:szCs w:val="20"/>
          <w:lang w:val="en-GB" w:eastAsia="en-US"/>
        </w:rPr>
        <w:t xml:space="preserve">According to Section 4.2 of TS38.213, the timing advance can be up to 2 slots. </w:t>
      </w:r>
      <w:r w:rsidRPr="006D696C">
        <w:rPr>
          <w:sz w:val="20"/>
          <w:szCs w:val="20"/>
          <w:lang w:eastAsia="en-US"/>
        </w:rPr>
        <w:t>Therefore, the UL slot</w:t>
      </w:r>
      <w:r w:rsidR="008756B2" w:rsidRPr="006D696C">
        <w:rPr>
          <w:sz w:val="20"/>
          <w:szCs w:val="20"/>
          <w:lang w:eastAsia="en-US"/>
        </w:rPr>
        <w:t>(s)</w:t>
      </w:r>
      <w:r w:rsidRPr="006D696C">
        <w:rPr>
          <w:sz w:val="20"/>
          <w:szCs w:val="20"/>
          <w:lang w:eastAsia="en-US"/>
        </w:rPr>
        <w:t xml:space="preserve"> right after the measurement gap may be overlapped by gap. </w:t>
      </w:r>
      <w:r w:rsidR="00A3326F" w:rsidRPr="006D696C">
        <w:rPr>
          <w:sz w:val="20"/>
          <w:szCs w:val="20"/>
          <w:lang w:eastAsia="en-US"/>
        </w:rPr>
        <w:t xml:space="preserve">To deal with this issue the following requirements were introduced </w:t>
      </w:r>
      <w:r w:rsidR="008756B2" w:rsidRPr="006D696C">
        <w:rPr>
          <w:sz w:val="20"/>
          <w:szCs w:val="20"/>
          <w:lang w:eastAsia="en-US"/>
        </w:rPr>
        <w:t xml:space="preserve">in Section 9.1.2 of TS38.133. </w:t>
      </w:r>
    </w:p>
    <w:tbl>
      <w:tblPr>
        <w:tblStyle w:val="af4"/>
        <w:tblW w:w="0" w:type="auto"/>
        <w:tblLook w:val="04A0" w:firstRow="1" w:lastRow="0" w:firstColumn="1" w:lastColumn="0" w:noHBand="0" w:noVBand="1"/>
      </w:tblPr>
      <w:tblGrid>
        <w:gridCol w:w="9629"/>
      </w:tblGrid>
      <w:tr w:rsidR="00A3326F" w:rsidRPr="00A3326F" w14:paraId="1E73603B" w14:textId="77777777" w:rsidTr="00A3326F">
        <w:tc>
          <w:tcPr>
            <w:tcW w:w="9629" w:type="dxa"/>
          </w:tcPr>
          <w:p w14:paraId="5FE045AC" w14:textId="77777777" w:rsidR="00A3326F" w:rsidRPr="00A3326F" w:rsidRDefault="00A3326F" w:rsidP="00A3326F">
            <w:pPr>
              <w:spacing w:after="60"/>
              <w:rPr>
                <w:sz w:val="18"/>
              </w:rPr>
            </w:pPr>
            <w:r w:rsidRPr="00A3326F">
              <w:rPr>
                <w:sz w:val="18"/>
              </w:rPr>
              <w:t xml:space="preserve">It is up to UE implementation whether or not the UE is able to conduct transmission in the following slot(s), </w:t>
            </w:r>
          </w:p>
          <w:p w14:paraId="39DDAEED" w14:textId="77777777" w:rsidR="00A3326F" w:rsidRPr="00A3326F" w:rsidRDefault="00A3326F" w:rsidP="00A3326F">
            <w:pPr>
              <w:spacing w:after="60"/>
              <w:ind w:left="568" w:hanging="284"/>
              <w:rPr>
                <w:sz w:val="18"/>
              </w:rPr>
            </w:pPr>
            <w:r w:rsidRPr="00A3326F">
              <w:rPr>
                <w:sz w:val="18"/>
              </w:rPr>
              <w:t>-</w:t>
            </w:r>
            <w:r w:rsidRPr="00A3326F">
              <w:rPr>
                <w:sz w:val="18"/>
              </w:rPr>
              <w:tab/>
              <w:t>when MGTA is not applied, in the L consecutive UL slots with respect to the SCS of the UL carrier with the same slot indices as the DL slots occurring immediately after measurement gap</w:t>
            </w:r>
          </w:p>
          <w:p w14:paraId="088C92F7"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other than 15kHz, in the L consecutive UL slots with respect to the SCS of the UL carrier with the same slot indices as the DL slots occurring immediately after measurement gap</w:t>
            </w:r>
          </w:p>
          <w:p w14:paraId="13EED18B"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15kHz, in the L consecutive UL slots with respect to the SCS of the UL carrier with the same slot indices as the DL slots occurring immediately after the slot partially overlapped with measurement gap</w:t>
            </w:r>
          </w:p>
          <w:p w14:paraId="1BC2E261" w14:textId="5413C468" w:rsidR="00A3326F" w:rsidRPr="00A3326F" w:rsidRDefault="00A3326F" w:rsidP="00A3326F">
            <w:pPr>
              <w:spacing w:after="60"/>
              <w:rPr>
                <w:sz w:val="18"/>
                <w:lang w:eastAsia="en-US"/>
              </w:rPr>
            </w:pPr>
            <w:r w:rsidRPr="00A3326F">
              <w:rPr>
                <w:sz w:val="18"/>
              </w:rPr>
              <w:t xml:space="preserve">where UL slot denotes that all the symbols in the slot are uplink symbols, and L=1 if </w:t>
            </w:r>
            <w:r w:rsidRPr="00A3326F">
              <w:rPr>
                <w:position w:val="-10"/>
                <w:sz w:val="18"/>
              </w:rPr>
              <w:object w:dxaOrig="1800" w:dyaOrig="300" w14:anchorId="4B3F8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12.5pt" o:ole="">
                  <v:imagedata r:id="rId12" o:title=""/>
                </v:shape>
                <o:OLEObject Type="Embed" ProgID="Equation.3" ShapeID="_x0000_i1025" DrawAspect="Content" ObjectID="_1648034981" r:id="rId13"/>
              </w:object>
            </w:r>
            <w:r w:rsidRPr="00A3326F">
              <w:rPr>
                <w:sz w:val="18"/>
              </w:rPr>
              <w:t xml:space="preserve"> for the UL transmission is less than the length of one slot; L=2 otherwise.</w:t>
            </w:r>
          </w:p>
        </w:tc>
      </w:tr>
    </w:tbl>
    <w:p w14:paraId="1E971ED9" w14:textId="77777777" w:rsidR="00B02977" w:rsidRDefault="00B02977" w:rsidP="00B02977">
      <w:pPr>
        <w:rPr>
          <w:lang w:val="en-GB" w:eastAsia="en-US"/>
        </w:rPr>
      </w:pPr>
    </w:p>
    <w:p w14:paraId="17EA6EE1" w14:textId="5FB811C7" w:rsidR="00202921" w:rsidRPr="006D696C" w:rsidRDefault="008756B2" w:rsidP="008756B2">
      <w:pPr>
        <w:jc w:val="both"/>
        <w:rPr>
          <w:sz w:val="20"/>
          <w:szCs w:val="20"/>
          <w:lang w:val="en-GB" w:eastAsia="en-US"/>
        </w:rPr>
      </w:pPr>
      <w:r w:rsidRPr="006D696C">
        <w:rPr>
          <w:sz w:val="20"/>
          <w:szCs w:val="20"/>
          <w:lang w:val="en-GB" w:eastAsia="en-US"/>
        </w:rPr>
        <w:t xml:space="preserve">In </w:t>
      </w:r>
      <w:r w:rsidR="006D696C">
        <w:rPr>
          <w:sz w:val="20"/>
          <w:szCs w:val="20"/>
          <w:lang w:val="en-GB" w:eastAsia="en-US"/>
        </w:rPr>
        <w:t>principle</w:t>
      </w:r>
      <w:r w:rsidRPr="006D696C">
        <w:rPr>
          <w:sz w:val="20"/>
          <w:szCs w:val="20"/>
          <w:lang w:val="en-GB" w:eastAsia="en-US"/>
        </w:rPr>
        <w:t>, it is up to UE implementation on whether to conduct UL transmission on th</w:t>
      </w:r>
      <w:r w:rsidR="00F66AE0">
        <w:rPr>
          <w:sz w:val="20"/>
          <w:szCs w:val="20"/>
          <w:lang w:val="en-GB" w:eastAsia="en-US"/>
        </w:rPr>
        <w:t>os</w:t>
      </w:r>
      <w:r w:rsidRPr="006D696C">
        <w:rPr>
          <w:sz w:val="20"/>
          <w:szCs w:val="20"/>
          <w:lang w:val="en-GB" w:eastAsia="en-US"/>
        </w:rPr>
        <w:t>e slot(s). Therefore, network actually has no confidence on whether UE can transmit or not on those slot(s). In a conservative way network will never try to schedule UL grant on those slots. In an aggressive way network can anyway schedule the UL grants regardless of UE’s real situation. Anyhow, there is either some throughput loss or some waste of the radio resources.</w:t>
      </w:r>
      <w:r w:rsidR="00202921" w:rsidRPr="006D696C">
        <w:rPr>
          <w:sz w:val="20"/>
          <w:szCs w:val="20"/>
          <w:lang w:val="en-GB" w:eastAsia="en-US"/>
        </w:rPr>
        <w:t xml:space="preserve"> Note that the same issue may also happens on those slots right before measurement gap, as illustrated in </w:t>
      </w:r>
      <w:r w:rsidR="00202921" w:rsidRPr="006D696C">
        <w:rPr>
          <w:sz w:val="20"/>
          <w:szCs w:val="20"/>
          <w:lang w:val="en-GB" w:eastAsia="en-US"/>
        </w:rPr>
        <w:fldChar w:fldCharType="begin"/>
      </w:r>
      <w:r w:rsidR="00202921" w:rsidRPr="006D696C">
        <w:rPr>
          <w:sz w:val="20"/>
          <w:szCs w:val="20"/>
          <w:lang w:val="en-GB" w:eastAsia="en-US"/>
        </w:rPr>
        <w:instrText xml:space="preserve"> REF _Ref31825839 \h </w:instrText>
      </w:r>
      <w:r w:rsidR="006D696C">
        <w:rPr>
          <w:sz w:val="20"/>
          <w:szCs w:val="20"/>
          <w:lang w:val="en-GB" w:eastAsia="en-US"/>
        </w:rPr>
        <w:instrText xml:space="preserve"> \* MERGEFORMAT </w:instrText>
      </w:r>
      <w:r w:rsidR="00202921" w:rsidRPr="006D696C">
        <w:rPr>
          <w:sz w:val="20"/>
          <w:szCs w:val="20"/>
          <w:lang w:val="en-GB" w:eastAsia="en-US"/>
        </w:rPr>
      </w:r>
      <w:r w:rsidR="00202921" w:rsidRPr="006D696C">
        <w:rPr>
          <w:sz w:val="20"/>
          <w:szCs w:val="20"/>
          <w:lang w:val="en-GB" w:eastAsia="en-US"/>
        </w:rPr>
        <w:fldChar w:fldCharType="separate"/>
      </w:r>
      <w:r w:rsidR="00451134" w:rsidRPr="00451134">
        <w:rPr>
          <w:sz w:val="20"/>
          <w:szCs w:val="20"/>
        </w:rPr>
        <w:t xml:space="preserve">Figure </w:t>
      </w:r>
      <w:r w:rsidR="00451134" w:rsidRPr="00451134">
        <w:rPr>
          <w:noProof/>
          <w:sz w:val="20"/>
          <w:szCs w:val="20"/>
        </w:rPr>
        <w:t>3</w:t>
      </w:r>
      <w:r w:rsidR="00202921" w:rsidRPr="006D696C">
        <w:rPr>
          <w:sz w:val="20"/>
          <w:szCs w:val="20"/>
          <w:lang w:val="en-GB" w:eastAsia="en-US"/>
        </w:rPr>
        <w:fldChar w:fldCharType="end"/>
      </w:r>
      <w:r w:rsidR="00202921" w:rsidRPr="006D696C">
        <w:rPr>
          <w:sz w:val="20"/>
          <w:szCs w:val="20"/>
          <w:lang w:val="en-GB" w:eastAsia="en-US"/>
        </w:rPr>
        <w:t>.</w:t>
      </w:r>
      <w:r w:rsidRPr="006D696C">
        <w:rPr>
          <w:sz w:val="20"/>
          <w:szCs w:val="20"/>
          <w:lang w:val="en-GB" w:eastAsia="en-US"/>
        </w:rPr>
        <w:t xml:space="preserve"> It would be better to study a mechanism to efficiently utilize the </w:t>
      </w:r>
      <w:r w:rsidR="00202921" w:rsidRPr="006D696C">
        <w:rPr>
          <w:sz w:val="20"/>
          <w:szCs w:val="20"/>
          <w:lang w:val="en-GB" w:eastAsia="en-US"/>
        </w:rPr>
        <w:t xml:space="preserve">UL slots right before and after measurement gap. </w:t>
      </w:r>
    </w:p>
    <w:p w14:paraId="545EA105" w14:textId="77777777" w:rsidR="00202921" w:rsidRDefault="00202921" w:rsidP="008756B2">
      <w:pPr>
        <w:jc w:val="both"/>
        <w:rPr>
          <w:lang w:val="en-GB" w:eastAsia="en-US"/>
        </w:rPr>
      </w:pPr>
    </w:p>
    <w:p w14:paraId="630490D1" w14:textId="3458AE08" w:rsidR="00202921" w:rsidRDefault="00202921" w:rsidP="00202921">
      <w:pPr>
        <w:jc w:val="center"/>
        <w:rPr>
          <w:lang w:val="en-GB" w:eastAsia="en-US"/>
        </w:rPr>
      </w:pPr>
      <w:r w:rsidRPr="00202921">
        <w:rPr>
          <w:noProof/>
        </w:rPr>
        <w:drawing>
          <wp:inline distT="0" distB="0" distL="0" distR="0" wp14:anchorId="7F1A1067" wp14:editId="2C7E8CA9">
            <wp:extent cx="4535107" cy="1117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4536" cy="1127064"/>
                    </a:xfrm>
                    <a:prstGeom prst="rect">
                      <a:avLst/>
                    </a:prstGeom>
                    <a:noFill/>
                    <a:ln>
                      <a:noFill/>
                    </a:ln>
                  </pic:spPr>
                </pic:pic>
              </a:graphicData>
            </a:graphic>
          </wp:inline>
        </w:drawing>
      </w:r>
    </w:p>
    <w:p w14:paraId="669A69F0" w14:textId="70E1D58D" w:rsidR="00202921" w:rsidRDefault="00202921" w:rsidP="00202921">
      <w:pPr>
        <w:pStyle w:val="af0"/>
        <w:jc w:val="center"/>
        <w:rPr>
          <w:lang w:val="en-GB" w:eastAsia="en-US"/>
        </w:rPr>
      </w:pPr>
      <w:bookmarkStart w:id="6" w:name="_Ref31825839"/>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451134">
        <w:rPr>
          <w:noProof/>
        </w:rPr>
        <w:t>3</w:t>
      </w:r>
      <w:r w:rsidR="00387496">
        <w:rPr>
          <w:noProof/>
        </w:rPr>
        <w:fldChar w:fldCharType="end"/>
      </w:r>
      <w:bookmarkEnd w:id="6"/>
      <w:r>
        <w:t xml:space="preserve"> UL slots partially overlapped by measurement gap</w:t>
      </w:r>
    </w:p>
    <w:p w14:paraId="6A92C034" w14:textId="77777777" w:rsidR="00202921" w:rsidRDefault="00202921" w:rsidP="008756B2">
      <w:pPr>
        <w:jc w:val="both"/>
        <w:rPr>
          <w:lang w:val="en-GB" w:eastAsia="en-US"/>
        </w:rPr>
      </w:pPr>
    </w:p>
    <w:p w14:paraId="7ECC0456" w14:textId="35FDE9C2" w:rsidR="00202921" w:rsidRPr="00E202BC" w:rsidRDefault="0060584A" w:rsidP="00E202BC">
      <w:pPr>
        <w:jc w:val="both"/>
        <w:rPr>
          <w:sz w:val="20"/>
          <w:szCs w:val="20"/>
          <w:lang w:val="en-GB" w:eastAsia="en-US"/>
        </w:rPr>
      </w:pPr>
      <w:r w:rsidRPr="006D696C">
        <w:rPr>
          <w:sz w:val="20"/>
          <w:szCs w:val="20"/>
          <w:lang w:val="en-GB" w:eastAsia="en-US"/>
        </w:rPr>
        <w:lastRenderedPageBreak/>
        <w:t xml:space="preserve">Current NR PUSCH/PUCCH scheduling </w:t>
      </w:r>
      <w:r w:rsidR="0098115F">
        <w:rPr>
          <w:sz w:val="20"/>
          <w:szCs w:val="20"/>
          <w:lang w:val="en-GB" w:eastAsia="en-US"/>
        </w:rPr>
        <w:t>is</w:t>
      </w:r>
      <w:r w:rsidRPr="006D696C">
        <w:rPr>
          <w:sz w:val="20"/>
          <w:szCs w:val="20"/>
          <w:lang w:val="en-GB" w:eastAsia="en-US"/>
        </w:rPr>
        <w:t xml:space="preserve"> very flexible. It can occupy only </w:t>
      </w:r>
      <w:r w:rsidR="00EB415B">
        <w:rPr>
          <w:sz w:val="20"/>
          <w:szCs w:val="20"/>
          <w:lang w:val="en-GB" w:eastAsia="en-US"/>
        </w:rPr>
        <w:t>a subset</w:t>
      </w:r>
      <w:r w:rsidRPr="006D696C">
        <w:rPr>
          <w:sz w:val="20"/>
          <w:szCs w:val="20"/>
          <w:lang w:val="en-GB" w:eastAsia="en-US"/>
        </w:rPr>
        <w:t xml:space="preserve"> of the OFDM symbols in slots. But even so</w:t>
      </w:r>
      <w:r w:rsidR="00254B5E" w:rsidRPr="006D696C">
        <w:rPr>
          <w:sz w:val="20"/>
          <w:szCs w:val="20"/>
          <w:lang w:val="en-GB" w:eastAsia="en-US"/>
        </w:rPr>
        <w:t>,</w:t>
      </w:r>
      <w:r w:rsidRPr="006D696C">
        <w:rPr>
          <w:sz w:val="20"/>
          <w:szCs w:val="20"/>
          <w:lang w:val="en-GB" w:eastAsia="en-US"/>
        </w:rPr>
        <w:t xml:space="preserve"> </w:t>
      </w:r>
      <w:r w:rsidR="00E47FDC" w:rsidRPr="006D696C">
        <w:rPr>
          <w:sz w:val="20"/>
          <w:szCs w:val="20"/>
          <w:lang w:val="en-GB" w:eastAsia="en-US"/>
        </w:rPr>
        <w:t xml:space="preserve">network still faces the same risk. </w:t>
      </w:r>
      <w:r w:rsidRPr="006D696C">
        <w:rPr>
          <w:sz w:val="20"/>
          <w:szCs w:val="20"/>
          <w:lang w:val="en-GB" w:eastAsia="en-US"/>
        </w:rPr>
        <w:t xml:space="preserve">The fundamental reason leading to this issue is that network has no idea about the absolute timing difference between UE’s DL slots and UL slots. </w:t>
      </w:r>
      <w:r w:rsidR="00E47FDC" w:rsidRPr="006D696C">
        <w:rPr>
          <w:sz w:val="20"/>
          <w:szCs w:val="20"/>
          <w:lang w:val="en-GB" w:eastAsia="en-US"/>
        </w:rPr>
        <w:t>It make</w:t>
      </w:r>
      <w:r w:rsidR="00254B5E" w:rsidRPr="006D696C">
        <w:rPr>
          <w:sz w:val="20"/>
          <w:szCs w:val="20"/>
          <w:lang w:val="en-GB" w:eastAsia="en-US"/>
        </w:rPr>
        <w:t>s</w:t>
      </w:r>
      <w:r w:rsidR="00E47FDC" w:rsidRPr="006D696C">
        <w:rPr>
          <w:sz w:val="20"/>
          <w:szCs w:val="20"/>
          <w:lang w:val="en-GB" w:eastAsia="en-US"/>
        </w:rPr>
        <w:t xml:space="preserve"> network difficult to determine how many OFDM symbols are still available for UL transmission. </w:t>
      </w:r>
      <w:r w:rsidR="00254B5E" w:rsidRPr="006D696C">
        <w:rPr>
          <w:sz w:val="20"/>
          <w:szCs w:val="20"/>
          <w:lang w:val="en-GB" w:eastAsia="en-US"/>
        </w:rPr>
        <w:t>To resolve this issue for better network efficiency, a mechanism can be studied to let network know the timing difference between UE’s DL slots and UL slots.</w:t>
      </w:r>
      <w:r w:rsidR="00254B5E" w:rsidRPr="00E202BC">
        <w:rPr>
          <w:sz w:val="20"/>
          <w:szCs w:val="20"/>
        </w:rPr>
        <w:t xml:space="preserve"> </w:t>
      </w:r>
    </w:p>
    <w:p w14:paraId="1ECE0969" w14:textId="567B7960" w:rsidR="008756B2" w:rsidRPr="006D696C" w:rsidRDefault="00254B5E" w:rsidP="00254B5E">
      <w:pPr>
        <w:pStyle w:val="af0"/>
        <w:rPr>
          <w:lang w:val="en-GB" w:eastAsia="en-US"/>
        </w:rPr>
      </w:pPr>
      <w:bookmarkStart w:id="7" w:name="_Ref31828132"/>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451134">
        <w:rPr>
          <w:noProof/>
        </w:rPr>
        <w:t>4</w:t>
      </w:r>
      <w:r w:rsidR="00387496">
        <w:rPr>
          <w:noProof/>
        </w:rPr>
        <w:fldChar w:fldCharType="end"/>
      </w:r>
      <w:r w:rsidRPr="006D696C">
        <w:t>: Study the method to enhance the utilization of UL slots or symbols before and after measurement gap</w:t>
      </w:r>
      <w:bookmarkEnd w:id="7"/>
      <w:r w:rsidR="00FA58D1" w:rsidRPr="006D696C">
        <w:t>.</w:t>
      </w:r>
    </w:p>
    <w:p w14:paraId="397420CE" w14:textId="670AAD93" w:rsidR="0001556B" w:rsidRDefault="0001556B" w:rsidP="0001556B">
      <w:pPr>
        <w:pStyle w:val="1"/>
        <w:numPr>
          <w:ilvl w:val="0"/>
          <w:numId w:val="1"/>
        </w:numPr>
        <w:rPr>
          <w:rFonts w:ascii="Calibri" w:hAnsi="Calibri"/>
        </w:rPr>
      </w:pPr>
      <w:r>
        <w:rPr>
          <w:rFonts w:ascii="Calibri" w:hAnsi="Calibri"/>
        </w:rPr>
        <w:t>Scope of further RRM enhancement WI</w:t>
      </w:r>
    </w:p>
    <w:p w14:paraId="076B86E8" w14:textId="4FB21632" w:rsidR="007C40CD" w:rsidRDefault="00980E2E" w:rsidP="007C40CD">
      <w:pPr>
        <w:rPr>
          <w:sz w:val="20"/>
          <w:szCs w:val="20"/>
          <w:lang w:val="x-none" w:eastAsia="x-none"/>
        </w:rPr>
      </w:pPr>
      <w:r w:rsidRPr="006D696C">
        <w:rPr>
          <w:sz w:val="20"/>
          <w:szCs w:val="20"/>
          <w:lang w:val="x-none" w:eastAsia="x-none"/>
        </w:rPr>
        <w:t>The scope of this further RRM enhancement WI are summarized as following,</w:t>
      </w:r>
    </w:p>
    <w:p w14:paraId="53DDC518" w14:textId="77777777" w:rsidR="00C318B8" w:rsidRDefault="00C318B8" w:rsidP="00100836">
      <w:pPr>
        <w:tabs>
          <w:tab w:val="num" w:pos="2160"/>
        </w:tabs>
        <w:spacing w:before="120" w:after="180"/>
        <w:jc w:val="both"/>
        <w:rPr>
          <w:b/>
          <w:bCs/>
          <w:u w:val="single"/>
        </w:rPr>
      </w:pPr>
      <w:r w:rsidRPr="00142E3D">
        <w:rPr>
          <w:b/>
          <w:bCs/>
          <w:u w:val="single"/>
        </w:rPr>
        <w:t>Work phase:</w:t>
      </w:r>
    </w:p>
    <w:p w14:paraId="6D80934C" w14:textId="7CBF482E" w:rsidR="00C318B8" w:rsidRPr="00FF5894" w:rsidRDefault="00C318B8" w:rsidP="004827BA">
      <w:pPr>
        <w:spacing w:before="120" w:after="180"/>
        <w:jc w:val="both"/>
        <w:rPr>
          <w:sz w:val="20"/>
          <w:szCs w:val="20"/>
          <w:lang w:eastAsia="x-none"/>
        </w:rPr>
      </w:pPr>
      <w:r>
        <w:rPr>
          <w:sz w:val="20"/>
          <w:szCs w:val="20"/>
          <w:lang w:val="x-none" w:eastAsia="x-none"/>
        </w:rPr>
        <w:t>Introduce the following requirements</w:t>
      </w:r>
      <w:r w:rsidR="00FF5894">
        <w:rPr>
          <w:sz w:val="20"/>
          <w:szCs w:val="20"/>
          <w:lang w:eastAsia="x-none"/>
        </w:rPr>
        <w:t>:</w:t>
      </w:r>
    </w:p>
    <w:p w14:paraId="1D785110" w14:textId="637499D2" w:rsidR="006B02A5" w:rsidRPr="00FF5894" w:rsidRDefault="00CA2D32" w:rsidP="004827BA">
      <w:pPr>
        <w:pStyle w:val="af3"/>
        <w:numPr>
          <w:ilvl w:val="0"/>
          <w:numId w:val="21"/>
        </w:numPr>
        <w:spacing w:after="120" w:line="240" w:lineRule="auto"/>
        <w:contextualSpacing w:val="0"/>
        <w:jc w:val="both"/>
        <w:rPr>
          <w:kern w:val="24"/>
          <w:sz w:val="20"/>
          <w:szCs w:val="20"/>
        </w:rPr>
      </w:pPr>
      <w:r>
        <w:rPr>
          <w:kern w:val="24"/>
          <w:sz w:val="20"/>
          <w:szCs w:val="20"/>
        </w:rPr>
        <w:t xml:space="preserve">Active </w:t>
      </w:r>
      <w:r w:rsidR="00980E2E" w:rsidRPr="00FF5894">
        <w:rPr>
          <w:kern w:val="24"/>
          <w:sz w:val="20"/>
          <w:szCs w:val="20"/>
        </w:rPr>
        <w:t xml:space="preserve">TCI-state switch </w:t>
      </w:r>
      <w:r w:rsidRPr="00FF5894">
        <w:rPr>
          <w:kern w:val="24"/>
          <w:sz w:val="20"/>
          <w:szCs w:val="20"/>
        </w:rPr>
        <w:t xml:space="preserve">for CSI reporting </w:t>
      </w:r>
      <w:r>
        <w:rPr>
          <w:kern w:val="24"/>
          <w:sz w:val="20"/>
          <w:szCs w:val="20"/>
        </w:rPr>
        <w:t>via</w:t>
      </w:r>
      <w:r w:rsidR="00980E2E" w:rsidRPr="00FF5894">
        <w:rPr>
          <w:kern w:val="24"/>
          <w:sz w:val="20"/>
          <w:szCs w:val="20"/>
        </w:rPr>
        <w:t xml:space="preserve"> CSI-RS</w:t>
      </w:r>
      <w:r>
        <w:rPr>
          <w:kern w:val="24"/>
          <w:sz w:val="20"/>
          <w:szCs w:val="20"/>
        </w:rPr>
        <w:t xml:space="preserve"> reconfiguration</w:t>
      </w:r>
      <w:r w:rsidR="00980E2E" w:rsidRPr="00FF5894">
        <w:rPr>
          <w:kern w:val="24"/>
          <w:sz w:val="20"/>
          <w:szCs w:val="20"/>
        </w:rPr>
        <w:t xml:space="preserve"> </w:t>
      </w:r>
    </w:p>
    <w:p w14:paraId="5175D724" w14:textId="0B3DEB7A" w:rsidR="00E263C3" w:rsidRPr="00FF5894" w:rsidRDefault="00100836" w:rsidP="004827BA">
      <w:pPr>
        <w:pStyle w:val="af3"/>
        <w:numPr>
          <w:ilvl w:val="1"/>
          <w:numId w:val="21"/>
        </w:numPr>
        <w:spacing w:after="120" w:line="240" w:lineRule="auto"/>
        <w:contextualSpacing w:val="0"/>
        <w:jc w:val="both"/>
        <w:rPr>
          <w:kern w:val="24"/>
          <w:sz w:val="20"/>
          <w:szCs w:val="20"/>
        </w:rPr>
      </w:pPr>
      <w:r w:rsidRPr="00FF5894">
        <w:rPr>
          <w:kern w:val="24"/>
          <w:sz w:val="20"/>
          <w:szCs w:val="20"/>
        </w:rPr>
        <w:t xml:space="preserve">Introduce the delay requirements for </w:t>
      </w:r>
      <w:r w:rsidR="00CA2D32">
        <w:rPr>
          <w:kern w:val="24"/>
          <w:sz w:val="20"/>
          <w:szCs w:val="20"/>
        </w:rPr>
        <w:t xml:space="preserve">active </w:t>
      </w:r>
      <w:r w:rsidRPr="00FF5894">
        <w:rPr>
          <w:kern w:val="24"/>
          <w:sz w:val="20"/>
          <w:szCs w:val="20"/>
        </w:rPr>
        <w:t>TCI-state switch for CSI reporting</w:t>
      </w:r>
      <w:r w:rsidR="00CA2D32">
        <w:rPr>
          <w:kern w:val="24"/>
          <w:sz w:val="20"/>
          <w:szCs w:val="20"/>
        </w:rPr>
        <w:t xml:space="preserve"> via </w:t>
      </w:r>
      <w:r w:rsidR="00CA2D32" w:rsidRPr="00FF5894">
        <w:rPr>
          <w:kern w:val="24"/>
          <w:sz w:val="20"/>
          <w:szCs w:val="20"/>
        </w:rPr>
        <w:t>CSI-RS</w:t>
      </w:r>
      <w:r w:rsidR="00E263C3" w:rsidRPr="00FF5894">
        <w:rPr>
          <w:kern w:val="24"/>
          <w:sz w:val="20"/>
          <w:szCs w:val="20"/>
        </w:rPr>
        <w:t>, including</w:t>
      </w:r>
    </w:p>
    <w:p w14:paraId="08E0D223" w14:textId="5DB43E3E" w:rsidR="00E263C3" w:rsidRPr="00FF5894" w:rsidRDefault="00E263C3" w:rsidP="004827BA">
      <w:pPr>
        <w:pStyle w:val="af3"/>
        <w:numPr>
          <w:ilvl w:val="2"/>
          <w:numId w:val="21"/>
        </w:numPr>
        <w:spacing w:after="120" w:line="240" w:lineRule="auto"/>
        <w:contextualSpacing w:val="0"/>
        <w:jc w:val="both"/>
        <w:rPr>
          <w:kern w:val="24"/>
          <w:sz w:val="20"/>
          <w:szCs w:val="20"/>
        </w:rPr>
      </w:pPr>
      <w:r w:rsidRPr="00FF5894">
        <w:rPr>
          <w:kern w:val="24"/>
          <w:sz w:val="20"/>
          <w:szCs w:val="20"/>
        </w:rPr>
        <w:t xml:space="preserve">New TCI state is configured for the same CSI-RS for CQI </w:t>
      </w:r>
    </w:p>
    <w:p w14:paraId="786D294D" w14:textId="412D9011" w:rsidR="00E263C3" w:rsidRPr="00FF5894" w:rsidRDefault="00E263C3" w:rsidP="004827BA">
      <w:pPr>
        <w:pStyle w:val="af3"/>
        <w:numPr>
          <w:ilvl w:val="2"/>
          <w:numId w:val="21"/>
        </w:numPr>
        <w:spacing w:after="120" w:line="240" w:lineRule="auto"/>
        <w:contextualSpacing w:val="0"/>
        <w:jc w:val="both"/>
        <w:rPr>
          <w:kern w:val="24"/>
          <w:sz w:val="20"/>
          <w:szCs w:val="20"/>
        </w:rPr>
      </w:pPr>
      <w:r w:rsidRPr="00FF5894">
        <w:rPr>
          <w:kern w:val="24"/>
          <w:sz w:val="20"/>
          <w:szCs w:val="20"/>
        </w:rPr>
        <w:t xml:space="preserve">New CSI-RS configuration with new TCI state is configured </w:t>
      </w:r>
      <w:r w:rsidR="00FF5894" w:rsidRPr="00FF5894">
        <w:rPr>
          <w:kern w:val="24"/>
          <w:sz w:val="20"/>
          <w:szCs w:val="20"/>
        </w:rPr>
        <w:t>to replace the previous CSI-RS configuration</w:t>
      </w:r>
    </w:p>
    <w:p w14:paraId="071FC0F1" w14:textId="64E6E80B" w:rsidR="00E263C3" w:rsidRPr="00FF5894" w:rsidRDefault="00E263C3" w:rsidP="004827BA">
      <w:pPr>
        <w:pStyle w:val="af3"/>
        <w:numPr>
          <w:ilvl w:val="1"/>
          <w:numId w:val="21"/>
        </w:numPr>
        <w:spacing w:after="120" w:line="240" w:lineRule="auto"/>
        <w:contextualSpacing w:val="0"/>
        <w:jc w:val="both"/>
        <w:rPr>
          <w:kern w:val="24"/>
          <w:sz w:val="20"/>
          <w:szCs w:val="20"/>
        </w:rPr>
      </w:pPr>
      <w:r w:rsidRPr="00FF5894">
        <w:rPr>
          <w:kern w:val="24"/>
          <w:sz w:val="20"/>
          <w:szCs w:val="20"/>
        </w:rPr>
        <w:t>Specify UE behavior when the TCI-state for PDSCH is different to the TCI-state for CSI-RS for CSI reporting</w:t>
      </w:r>
    </w:p>
    <w:p w14:paraId="6DD7080D" w14:textId="3557D3CE" w:rsidR="00C318B8" w:rsidRPr="00FF5894" w:rsidRDefault="00100836" w:rsidP="004827BA">
      <w:pPr>
        <w:pStyle w:val="af3"/>
        <w:numPr>
          <w:ilvl w:val="0"/>
          <w:numId w:val="21"/>
        </w:numPr>
        <w:spacing w:after="120" w:line="240" w:lineRule="auto"/>
        <w:contextualSpacing w:val="0"/>
        <w:jc w:val="both"/>
        <w:rPr>
          <w:kern w:val="24"/>
          <w:sz w:val="20"/>
          <w:szCs w:val="20"/>
        </w:rPr>
      </w:pPr>
      <w:r w:rsidRPr="00FF5894">
        <w:rPr>
          <w:kern w:val="24"/>
          <w:sz w:val="20"/>
          <w:szCs w:val="20"/>
        </w:rPr>
        <w:t xml:space="preserve">SRS </w:t>
      </w:r>
      <w:r w:rsidR="00FF5894" w:rsidRPr="00FF5894">
        <w:rPr>
          <w:kern w:val="24"/>
          <w:sz w:val="20"/>
          <w:szCs w:val="20"/>
        </w:rPr>
        <w:t>antenna</w:t>
      </w:r>
      <w:r w:rsidRPr="00FF5894">
        <w:rPr>
          <w:kern w:val="24"/>
          <w:sz w:val="20"/>
          <w:szCs w:val="20"/>
        </w:rPr>
        <w:t xml:space="preserve"> switching </w:t>
      </w:r>
    </w:p>
    <w:p w14:paraId="3CFFFAA8" w14:textId="0570309E" w:rsidR="00FF5894" w:rsidRPr="00FF5894" w:rsidRDefault="00FF5894" w:rsidP="004827BA">
      <w:pPr>
        <w:pStyle w:val="af3"/>
        <w:numPr>
          <w:ilvl w:val="1"/>
          <w:numId w:val="21"/>
        </w:numPr>
        <w:spacing w:after="120" w:line="240" w:lineRule="auto"/>
        <w:contextualSpacing w:val="0"/>
        <w:jc w:val="both"/>
        <w:rPr>
          <w:kern w:val="24"/>
          <w:sz w:val="20"/>
          <w:szCs w:val="20"/>
        </w:rPr>
      </w:pPr>
      <w:r w:rsidRPr="00FF5894">
        <w:rPr>
          <w:kern w:val="24"/>
          <w:sz w:val="20"/>
          <w:szCs w:val="20"/>
        </w:rPr>
        <w:t xml:space="preserve">Introduce the interruption requirements due to SRS antenna switch </w:t>
      </w:r>
      <w:r w:rsidR="00E202BC">
        <w:rPr>
          <w:kern w:val="24"/>
          <w:sz w:val="20"/>
          <w:szCs w:val="20"/>
        </w:rPr>
        <w:t xml:space="preserve">in </w:t>
      </w:r>
      <w:r w:rsidR="00E202BC">
        <w:rPr>
          <w:sz w:val="20"/>
          <w:szCs w:val="20"/>
          <w:lang w:val="en-GB"/>
        </w:rPr>
        <w:t xml:space="preserve">NR SA and MR-DC </w:t>
      </w:r>
      <w:r w:rsidRPr="00FF5894">
        <w:rPr>
          <w:kern w:val="24"/>
          <w:sz w:val="20"/>
          <w:szCs w:val="20"/>
        </w:rPr>
        <w:t>for the following cases</w:t>
      </w:r>
    </w:p>
    <w:p w14:paraId="29032A83" w14:textId="183DD232" w:rsidR="00FF5894" w:rsidRPr="00142E3D" w:rsidRDefault="00FF5894" w:rsidP="004827BA">
      <w:pPr>
        <w:pStyle w:val="af3"/>
        <w:numPr>
          <w:ilvl w:val="2"/>
          <w:numId w:val="21"/>
        </w:numPr>
        <w:spacing w:after="120" w:line="240" w:lineRule="auto"/>
        <w:contextualSpacing w:val="0"/>
        <w:jc w:val="both"/>
        <w:rPr>
          <w:kern w:val="24"/>
          <w:sz w:val="20"/>
          <w:szCs w:val="20"/>
        </w:rPr>
      </w:pPr>
      <w:r w:rsidRPr="00142E3D">
        <w:rPr>
          <w:kern w:val="24"/>
          <w:sz w:val="20"/>
          <w:szCs w:val="20"/>
        </w:rPr>
        <w:t xml:space="preserve">NR SRS </w:t>
      </w:r>
      <w:r w:rsidR="00CA2D32">
        <w:rPr>
          <w:kern w:val="24"/>
          <w:sz w:val="20"/>
          <w:szCs w:val="20"/>
        </w:rPr>
        <w:t>antenna</w:t>
      </w:r>
      <w:r w:rsidR="00CA2D32" w:rsidRPr="00142E3D">
        <w:rPr>
          <w:kern w:val="24"/>
          <w:sz w:val="20"/>
          <w:szCs w:val="20"/>
        </w:rPr>
        <w:t xml:space="preserve"> </w:t>
      </w:r>
      <w:r w:rsidRPr="00142E3D">
        <w:rPr>
          <w:kern w:val="24"/>
          <w:sz w:val="20"/>
          <w:szCs w:val="20"/>
        </w:rPr>
        <w:t>switching impacting LTE CC</w:t>
      </w:r>
    </w:p>
    <w:p w14:paraId="056564ED" w14:textId="16B59857" w:rsidR="00FF5894" w:rsidRPr="00FF5894" w:rsidRDefault="00FF5894" w:rsidP="004827BA">
      <w:pPr>
        <w:pStyle w:val="af3"/>
        <w:numPr>
          <w:ilvl w:val="2"/>
          <w:numId w:val="21"/>
        </w:numPr>
        <w:spacing w:before="120" w:after="180" w:line="240" w:lineRule="auto"/>
        <w:contextualSpacing w:val="0"/>
        <w:jc w:val="both"/>
        <w:rPr>
          <w:sz w:val="20"/>
          <w:szCs w:val="20"/>
          <w:lang w:val="x-none" w:eastAsia="x-none"/>
        </w:rPr>
      </w:pPr>
      <w:r w:rsidRPr="00FF5894">
        <w:rPr>
          <w:kern w:val="24"/>
          <w:sz w:val="20"/>
          <w:szCs w:val="20"/>
        </w:rPr>
        <w:t xml:space="preserve">NR SRS </w:t>
      </w:r>
      <w:r w:rsidR="00CA2D32">
        <w:rPr>
          <w:kern w:val="24"/>
          <w:sz w:val="20"/>
          <w:szCs w:val="20"/>
        </w:rPr>
        <w:t>antenna</w:t>
      </w:r>
      <w:r w:rsidR="00CA2D32" w:rsidRPr="00FF5894">
        <w:rPr>
          <w:kern w:val="24"/>
          <w:sz w:val="20"/>
          <w:szCs w:val="20"/>
        </w:rPr>
        <w:t xml:space="preserve"> </w:t>
      </w:r>
      <w:r w:rsidRPr="00FF5894">
        <w:rPr>
          <w:kern w:val="24"/>
          <w:sz w:val="20"/>
          <w:szCs w:val="20"/>
        </w:rPr>
        <w:t>switching impacting NR CC</w:t>
      </w:r>
    </w:p>
    <w:p w14:paraId="7DDF1EC1" w14:textId="19B5C62E" w:rsidR="00C318B8" w:rsidRDefault="00C318B8" w:rsidP="004827BA">
      <w:pPr>
        <w:tabs>
          <w:tab w:val="num" w:pos="2160"/>
        </w:tabs>
        <w:spacing w:before="120" w:after="180"/>
        <w:jc w:val="both"/>
        <w:rPr>
          <w:b/>
          <w:bCs/>
          <w:u w:val="single"/>
        </w:rPr>
      </w:pPr>
      <w:r>
        <w:rPr>
          <w:b/>
          <w:bCs/>
          <w:u w:val="single"/>
        </w:rPr>
        <w:t>Study</w:t>
      </w:r>
      <w:r w:rsidRPr="00C318B8">
        <w:rPr>
          <w:b/>
          <w:bCs/>
          <w:u w:val="single"/>
        </w:rPr>
        <w:t xml:space="preserve"> phase:</w:t>
      </w:r>
    </w:p>
    <w:p w14:paraId="6556597E" w14:textId="3FE6CC5E" w:rsidR="00721350" w:rsidRPr="00B325C1" w:rsidRDefault="00721350" w:rsidP="00721350">
      <w:pPr>
        <w:jc w:val="both"/>
        <w:rPr>
          <w:kern w:val="24"/>
          <w:sz w:val="20"/>
          <w:szCs w:val="20"/>
          <w:lang w:eastAsia="en-US"/>
        </w:rPr>
      </w:pPr>
      <w:r w:rsidRPr="00B325C1">
        <w:rPr>
          <w:kern w:val="24"/>
          <w:sz w:val="20"/>
          <w:szCs w:val="20"/>
          <w:lang w:eastAsia="en-US"/>
        </w:rPr>
        <w:t>Study the feasibility and the necessary to introduce the requirement for the following aspects</w:t>
      </w:r>
      <w:r w:rsidR="00B325C1">
        <w:rPr>
          <w:kern w:val="24"/>
          <w:sz w:val="20"/>
          <w:szCs w:val="20"/>
          <w:lang w:eastAsia="en-US"/>
        </w:rPr>
        <w:t>:</w:t>
      </w:r>
    </w:p>
    <w:p w14:paraId="250A3B05" w14:textId="493FCBD2" w:rsidR="00C318B8" w:rsidRDefault="00C318B8" w:rsidP="004827BA">
      <w:pPr>
        <w:pStyle w:val="af3"/>
        <w:numPr>
          <w:ilvl w:val="0"/>
          <w:numId w:val="24"/>
        </w:numPr>
        <w:spacing w:after="120" w:line="240" w:lineRule="auto"/>
        <w:contextualSpacing w:val="0"/>
        <w:jc w:val="both"/>
        <w:rPr>
          <w:kern w:val="24"/>
          <w:sz w:val="20"/>
          <w:szCs w:val="20"/>
        </w:rPr>
      </w:pPr>
      <w:r w:rsidRPr="00FF5894">
        <w:rPr>
          <w:kern w:val="24"/>
          <w:sz w:val="20"/>
          <w:szCs w:val="20"/>
        </w:rPr>
        <w:t>DCI-based BWP switch in FR2</w:t>
      </w:r>
    </w:p>
    <w:p w14:paraId="3FF10B9B" w14:textId="622DFB92" w:rsidR="00FF5894" w:rsidRDefault="00FF5894" w:rsidP="004827BA">
      <w:pPr>
        <w:pStyle w:val="af3"/>
        <w:numPr>
          <w:ilvl w:val="1"/>
          <w:numId w:val="24"/>
        </w:numPr>
        <w:spacing w:after="120" w:line="240" w:lineRule="auto"/>
        <w:contextualSpacing w:val="0"/>
        <w:jc w:val="both"/>
        <w:rPr>
          <w:kern w:val="24"/>
          <w:sz w:val="20"/>
          <w:szCs w:val="20"/>
        </w:rPr>
      </w:pPr>
      <w:r>
        <w:rPr>
          <w:kern w:val="24"/>
          <w:sz w:val="20"/>
          <w:szCs w:val="20"/>
        </w:rPr>
        <w:t xml:space="preserve">Study the feasibility to </w:t>
      </w:r>
      <w:r w:rsidR="004827BA">
        <w:rPr>
          <w:kern w:val="24"/>
          <w:sz w:val="20"/>
          <w:szCs w:val="20"/>
        </w:rPr>
        <w:t>introduce</w:t>
      </w:r>
      <w:r>
        <w:rPr>
          <w:kern w:val="24"/>
          <w:sz w:val="20"/>
          <w:szCs w:val="20"/>
        </w:rPr>
        <w:t xml:space="preserve"> shorten</w:t>
      </w:r>
      <w:r w:rsidR="004827BA">
        <w:rPr>
          <w:kern w:val="24"/>
          <w:sz w:val="20"/>
          <w:szCs w:val="20"/>
        </w:rPr>
        <w:t>ed delay for</w:t>
      </w:r>
      <w:r>
        <w:rPr>
          <w:kern w:val="24"/>
          <w:sz w:val="20"/>
          <w:szCs w:val="20"/>
        </w:rPr>
        <w:t xml:space="preserve"> the DCI-based BWP switch in FR2</w:t>
      </w:r>
    </w:p>
    <w:p w14:paraId="0EA96691" w14:textId="5C131CAE" w:rsidR="00FF5894" w:rsidRDefault="004827BA" w:rsidP="004827BA">
      <w:pPr>
        <w:pStyle w:val="af3"/>
        <w:numPr>
          <w:ilvl w:val="2"/>
          <w:numId w:val="24"/>
        </w:numPr>
        <w:spacing w:after="120" w:line="240" w:lineRule="auto"/>
        <w:contextualSpacing w:val="0"/>
        <w:jc w:val="both"/>
        <w:rPr>
          <w:kern w:val="24"/>
          <w:sz w:val="20"/>
          <w:szCs w:val="20"/>
        </w:rPr>
      </w:pPr>
      <w:r>
        <w:rPr>
          <w:kern w:val="24"/>
          <w:sz w:val="20"/>
          <w:szCs w:val="20"/>
        </w:rPr>
        <w:t>T</w:t>
      </w:r>
      <w:r w:rsidR="00FF5894">
        <w:rPr>
          <w:kern w:val="24"/>
          <w:sz w:val="20"/>
          <w:szCs w:val="20"/>
        </w:rPr>
        <w:t>he study should consider the conclusion</w:t>
      </w:r>
      <w:r>
        <w:rPr>
          <w:kern w:val="24"/>
          <w:sz w:val="20"/>
          <w:szCs w:val="20"/>
        </w:rPr>
        <w:t>s</w:t>
      </w:r>
      <w:r w:rsidR="00FF5894">
        <w:rPr>
          <w:kern w:val="24"/>
          <w:sz w:val="20"/>
          <w:szCs w:val="20"/>
        </w:rPr>
        <w:t xml:space="preserve"> of Rel-1</w:t>
      </w:r>
      <w:r>
        <w:rPr>
          <w:kern w:val="24"/>
          <w:sz w:val="20"/>
          <w:szCs w:val="20"/>
        </w:rPr>
        <w:t xml:space="preserve">6 </w:t>
      </w:r>
      <w:r w:rsidR="00FF5894">
        <w:rPr>
          <w:kern w:val="24"/>
          <w:sz w:val="20"/>
          <w:szCs w:val="20"/>
        </w:rPr>
        <w:t>BWP-related feature, e.g., SCell dormancy, MIMO layer adaptation</w:t>
      </w:r>
      <w:r w:rsidR="006C3A64">
        <w:rPr>
          <w:kern w:val="24"/>
          <w:sz w:val="20"/>
          <w:szCs w:val="20"/>
        </w:rPr>
        <w:t>,</w:t>
      </w:r>
      <w:r w:rsidR="000C5A02">
        <w:rPr>
          <w:kern w:val="24"/>
          <w:sz w:val="20"/>
          <w:szCs w:val="20"/>
        </w:rPr>
        <w:t xml:space="preserve"> </w:t>
      </w:r>
      <w:r>
        <w:rPr>
          <w:kern w:val="24"/>
          <w:sz w:val="20"/>
          <w:szCs w:val="20"/>
        </w:rPr>
        <w:t>and BWP switch in multiple CCs</w:t>
      </w:r>
      <w:r w:rsidR="000C5A02">
        <w:rPr>
          <w:kern w:val="24"/>
          <w:sz w:val="20"/>
          <w:szCs w:val="20"/>
        </w:rPr>
        <w:t>.</w:t>
      </w:r>
    </w:p>
    <w:p w14:paraId="3841E283" w14:textId="3D53BFC8" w:rsidR="004827BA" w:rsidRPr="00FF5894" w:rsidRDefault="004827BA" w:rsidP="004827BA">
      <w:pPr>
        <w:pStyle w:val="af3"/>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or UE capability support may be needed.</w:t>
      </w:r>
    </w:p>
    <w:p w14:paraId="4798D680" w14:textId="4D69C24B" w:rsidR="00C318B8" w:rsidRDefault="00C318B8" w:rsidP="004827BA">
      <w:pPr>
        <w:pStyle w:val="af3"/>
        <w:numPr>
          <w:ilvl w:val="0"/>
          <w:numId w:val="24"/>
        </w:numPr>
        <w:spacing w:after="120" w:line="240" w:lineRule="auto"/>
        <w:contextualSpacing w:val="0"/>
        <w:jc w:val="both"/>
        <w:rPr>
          <w:kern w:val="24"/>
          <w:sz w:val="20"/>
          <w:szCs w:val="20"/>
        </w:rPr>
      </w:pPr>
      <w:r w:rsidRPr="00FF5894">
        <w:rPr>
          <w:kern w:val="24"/>
          <w:sz w:val="20"/>
          <w:szCs w:val="20"/>
        </w:rPr>
        <w:t>Enhanced utilization of UL slots before and after measurement gap</w:t>
      </w:r>
    </w:p>
    <w:p w14:paraId="1D57189F" w14:textId="44FB4EBB" w:rsidR="00FF5894" w:rsidRPr="004827BA" w:rsidRDefault="004827BA" w:rsidP="00A714F7">
      <w:pPr>
        <w:pStyle w:val="af3"/>
        <w:numPr>
          <w:ilvl w:val="1"/>
          <w:numId w:val="24"/>
        </w:numPr>
        <w:spacing w:after="120" w:line="240" w:lineRule="auto"/>
        <w:contextualSpacing w:val="0"/>
        <w:jc w:val="both"/>
        <w:rPr>
          <w:kern w:val="24"/>
          <w:sz w:val="20"/>
          <w:szCs w:val="20"/>
        </w:rPr>
      </w:pPr>
      <w:r w:rsidRPr="004827BA">
        <w:rPr>
          <w:kern w:val="24"/>
          <w:sz w:val="20"/>
          <w:szCs w:val="20"/>
        </w:rPr>
        <w:t xml:space="preserve">Study the mechanism to allow UE to report the timing difference between gap boundary and UL slots boundary to network </w:t>
      </w:r>
      <w:r>
        <w:rPr>
          <w:kern w:val="24"/>
          <w:sz w:val="20"/>
          <w:szCs w:val="20"/>
        </w:rPr>
        <w:t xml:space="preserve">for the purpose of </w:t>
      </w:r>
      <w:r w:rsidRPr="004827BA">
        <w:rPr>
          <w:kern w:val="24"/>
          <w:sz w:val="20"/>
          <w:szCs w:val="20"/>
        </w:rPr>
        <w:t>enhanc</w:t>
      </w:r>
      <w:r>
        <w:rPr>
          <w:kern w:val="24"/>
          <w:sz w:val="20"/>
          <w:szCs w:val="20"/>
        </w:rPr>
        <w:t>ing</w:t>
      </w:r>
      <w:r w:rsidRPr="004827BA">
        <w:rPr>
          <w:kern w:val="24"/>
          <w:sz w:val="20"/>
          <w:szCs w:val="20"/>
        </w:rPr>
        <w:t xml:space="preserve"> the utilization of (partial) UL slots before and after measurement gap </w:t>
      </w:r>
    </w:p>
    <w:p w14:paraId="6CDD7292" w14:textId="5EA1E8A2" w:rsidR="00C318B8" w:rsidRDefault="004827BA" w:rsidP="00721350">
      <w:pPr>
        <w:pStyle w:val="af3"/>
        <w:numPr>
          <w:ilvl w:val="2"/>
          <w:numId w:val="24"/>
        </w:numPr>
        <w:spacing w:after="120" w:line="240" w:lineRule="auto"/>
        <w:contextualSpacing w:val="0"/>
        <w:jc w:val="both"/>
        <w:rPr>
          <w:kern w:val="24"/>
          <w:sz w:val="20"/>
          <w:szCs w:val="20"/>
        </w:rPr>
      </w:pPr>
      <w:r>
        <w:rPr>
          <w:kern w:val="24"/>
          <w:sz w:val="20"/>
          <w:szCs w:val="20"/>
        </w:rPr>
        <w:t xml:space="preserve">The study should consider </w:t>
      </w:r>
      <w:r w:rsidR="008D51F5">
        <w:rPr>
          <w:kern w:val="24"/>
          <w:sz w:val="20"/>
          <w:szCs w:val="20"/>
        </w:rPr>
        <w:t xml:space="preserve">at least </w:t>
      </w:r>
      <w:r>
        <w:rPr>
          <w:kern w:val="24"/>
          <w:sz w:val="20"/>
          <w:szCs w:val="20"/>
        </w:rPr>
        <w:t xml:space="preserve">different measurement gap configurations, e.g., per-UE gap or per-FR gap, with or without </w:t>
      </w:r>
      <w:r w:rsidR="007E0BB5">
        <w:rPr>
          <w:kern w:val="24"/>
          <w:sz w:val="20"/>
          <w:szCs w:val="20"/>
        </w:rPr>
        <w:t>measurement gap timing advance</w:t>
      </w:r>
      <w:r w:rsidR="006C3A64">
        <w:rPr>
          <w:kern w:val="24"/>
          <w:sz w:val="20"/>
          <w:szCs w:val="20"/>
        </w:rPr>
        <w:t>,</w:t>
      </w:r>
      <w:r>
        <w:rPr>
          <w:kern w:val="24"/>
          <w:sz w:val="20"/>
          <w:szCs w:val="20"/>
        </w:rPr>
        <w:t xml:space="preserve"> and different </w:t>
      </w:r>
      <w:r w:rsidR="007E0BB5">
        <w:rPr>
          <w:kern w:val="24"/>
          <w:sz w:val="20"/>
          <w:szCs w:val="20"/>
        </w:rPr>
        <w:t>timing advance groups</w:t>
      </w:r>
      <w:r>
        <w:rPr>
          <w:kern w:val="24"/>
          <w:sz w:val="20"/>
          <w:szCs w:val="20"/>
        </w:rPr>
        <w:t>.</w:t>
      </w:r>
    </w:p>
    <w:p w14:paraId="77A35DCE" w14:textId="5DDA49ED" w:rsidR="00E202BC" w:rsidRDefault="00E202BC" w:rsidP="00721350">
      <w:pPr>
        <w:pStyle w:val="af3"/>
        <w:numPr>
          <w:ilvl w:val="2"/>
          <w:numId w:val="24"/>
        </w:numPr>
        <w:spacing w:after="120" w:line="240" w:lineRule="auto"/>
        <w:contextualSpacing w:val="0"/>
        <w:jc w:val="both"/>
        <w:rPr>
          <w:kern w:val="24"/>
          <w:sz w:val="20"/>
          <w:szCs w:val="20"/>
        </w:rPr>
      </w:pPr>
      <w:r>
        <w:rPr>
          <w:kern w:val="24"/>
          <w:sz w:val="20"/>
          <w:szCs w:val="20"/>
        </w:rPr>
        <w:t xml:space="preserve">The study should </w:t>
      </w:r>
      <w:r w:rsidR="00466BC5">
        <w:rPr>
          <w:kern w:val="24"/>
          <w:sz w:val="20"/>
          <w:szCs w:val="20"/>
        </w:rPr>
        <w:t xml:space="preserve">consider </w:t>
      </w:r>
      <w:r>
        <w:rPr>
          <w:kern w:val="24"/>
          <w:sz w:val="20"/>
          <w:szCs w:val="20"/>
        </w:rPr>
        <w:t>the frequency</w:t>
      </w:r>
      <w:r w:rsidR="00451134">
        <w:rPr>
          <w:kern w:val="24"/>
          <w:sz w:val="20"/>
          <w:szCs w:val="20"/>
        </w:rPr>
        <w:t>,</w:t>
      </w:r>
      <w:r>
        <w:rPr>
          <w:kern w:val="24"/>
          <w:sz w:val="20"/>
          <w:szCs w:val="20"/>
        </w:rPr>
        <w:t xml:space="preserve"> </w:t>
      </w:r>
      <w:r>
        <w:rPr>
          <w:sz w:val="20"/>
          <w:szCs w:val="20"/>
        </w:rPr>
        <w:t>accuracy</w:t>
      </w:r>
      <w:r w:rsidR="00466BC5">
        <w:rPr>
          <w:sz w:val="20"/>
          <w:szCs w:val="20"/>
        </w:rPr>
        <w:t xml:space="preserve"> and </w:t>
      </w:r>
      <w:r>
        <w:rPr>
          <w:sz w:val="20"/>
          <w:szCs w:val="20"/>
        </w:rPr>
        <w:t>granularity</w:t>
      </w:r>
      <w:r>
        <w:rPr>
          <w:kern w:val="24"/>
          <w:sz w:val="20"/>
          <w:szCs w:val="20"/>
        </w:rPr>
        <w:t xml:space="preserve"> for UE to reporting this timing difference</w:t>
      </w:r>
      <w:r>
        <w:rPr>
          <w:sz w:val="20"/>
          <w:szCs w:val="20"/>
        </w:rPr>
        <w:t>.</w:t>
      </w:r>
    </w:p>
    <w:p w14:paraId="1A440CA7" w14:textId="50F14335" w:rsidR="00721350" w:rsidRPr="00721350" w:rsidRDefault="00721350" w:rsidP="00721350">
      <w:pPr>
        <w:pStyle w:val="af3"/>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MAC mechanism or UE capability support may be needed.</w:t>
      </w:r>
    </w:p>
    <w:p w14:paraId="7C6FC139" w14:textId="51424C43" w:rsidR="00CE0D5E" w:rsidRPr="000C45FD" w:rsidRDefault="0001556B" w:rsidP="008F1284">
      <w:pPr>
        <w:pStyle w:val="1"/>
        <w:numPr>
          <w:ilvl w:val="0"/>
          <w:numId w:val="1"/>
        </w:numPr>
        <w:rPr>
          <w:rFonts w:ascii="Calibri" w:hAnsi="Calibri"/>
          <w:lang w:eastAsia="zh-CN"/>
        </w:rPr>
      </w:pPr>
      <w:r>
        <w:rPr>
          <w:rFonts w:ascii="Calibri" w:hAnsi="Calibri"/>
        </w:rPr>
        <w:lastRenderedPageBreak/>
        <w:t>Conclusions</w:t>
      </w:r>
    </w:p>
    <w:p w14:paraId="66549B52" w14:textId="1C6AE437" w:rsidR="00643E9E" w:rsidRPr="006D696C" w:rsidRDefault="006F7557" w:rsidP="00643E9E">
      <w:pPr>
        <w:adjustRightInd w:val="0"/>
        <w:snapToGrid w:val="0"/>
        <w:spacing w:before="180" w:after="120"/>
        <w:jc w:val="both"/>
        <w:rPr>
          <w:sz w:val="20"/>
          <w:szCs w:val="20"/>
        </w:rPr>
      </w:pPr>
      <w:r w:rsidRPr="006D696C">
        <w:rPr>
          <w:rFonts w:hint="eastAsia"/>
          <w:sz w:val="20"/>
          <w:szCs w:val="20"/>
        </w:rPr>
        <w:t xml:space="preserve">In this </w:t>
      </w:r>
      <w:r w:rsidR="0001556B" w:rsidRPr="006D696C">
        <w:rPr>
          <w:sz w:val="20"/>
          <w:szCs w:val="20"/>
        </w:rPr>
        <w:t xml:space="preserve">contribution, </w:t>
      </w:r>
      <w:r w:rsidR="00FA58D1" w:rsidRPr="006D696C">
        <w:rPr>
          <w:sz w:val="20"/>
          <w:szCs w:val="20"/>
        </w:rPr>
        <w:t>we provide the justification of the proposed new Rel-17 WI of further RRM enhancement with the following scope.</w:t>
      </w:r>
    </w:p>
    <w:p w14:paraId="08FC2C97" w14:textId="1EC467DA"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_Ref31828127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451134" w:rsidRPr="00451134">
        <w:rPr>
          <w:b/>
          <w:sz w:val="20"/>
          <w:szCs w:val="20"/>
          <w:lang w:val="x-none" w:eastAsia="x-none"/>
        </w:rPr>
        <w:t xml:space="preserve">Scope 1: </w:t>
      </w:r>
      <w:r w:rsidR="00451134" w:rsidRPr="00451134">
        <w:rPr>
          <w:rFonts w:hint="eastAsia"/>
          <w:b/>
          <w:sz w:val="20"/>
          <w:szCs w:val="20"/>
          <w:lang w:val="x-none" w:eastAsia="x-none"/>
        </w:rPr>
        <w:t>In</w:t>
      </w:r>
      <w:r w:rsidR="00451134" w:rsidRPr="00451134">
        <w:rPr>
          <w:b/>
          <w:sz w:val="20"/>
          <w:szCs w:val="20"/>
          <w:lang w:val="x-none" w:eastAsia="x-none"/>
        </w:rPr>
        <w:t>troduce UE requirements for TCI state switch for CSI reporting via CSI-RS reconfiguration.</w:t>
      </w:r>
      <w:r w:rsidRPr="006D696C">
        <w:rPr>
          <w:b/>
          <w:sz w:val="20"/>
          <w:szCs w:val="20"/>
          <w:lang w:val="x-none" w:eastAsia="x-none"/>
        </w:rPr>
        <w:fldChar w:fldCharType="end"/>
      </w:r>
    </w:p>
    <w:p w14:paraId="4576EC51" w14:textId="26CBB6B0"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_Ref31828128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451134" w:rsidRPr="00451134">
        <w:rPr>
          <w:b/>
          <w:sz w:val="20"/>
          <w:szCs w:val="20"/>
          <w:lang w:val="x-none" w:eastAsia="x-none"/>
        </w:rPr>
        <w:t>Scope 2: Introduce the interruption requirements due to SRS antenna switch</w:t>
      </w:r>
      <w:r w:rsidRPr="006D696C">
        <w:rPr>
          <w:b/>
          <w:sz w:val="20"/>
          <w:szCs w:val="20"/>
          <w:lang w:val="x-none" w:eastAsia="x-none"/>
        </w:rPr>
        <w:fldChar w:fldCharType="end"/>
      </w:r>
      <w:r w:rsidR="00820286" w:rsidRPr="006D696C">
        <w:rPr>
          <w:b/>
          <w:sz w:val="20"/>
          <w:szCs w:val="20"/>
          <w:lang w:val="x-none" w:eastAsia="x-none"/>
        </w:rPr>
        <w:t>.</w:t>
      </w:r>
    </w:p>
    <w:p w14:paraId="126B61DA" w14:textId="3A3701BD"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_Ref31828130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451134" w:rsidRPr="00451134">
        <w:rPr>
          <w:b/>
          <w:sz w:val="20"/>
          <w:szCs w:val="20"/>
          <w:lang w:val="x-none" w:eastAsia="x-none"/>
        </w:rPr>
        <w:t>Scope 3: Study the feasibility to introduce a shorter DCI-based BWP switch delay for FR2. Introduce the corresponding requirement, if concluded feasible.</w:t>
      </w:r>
      <w:r w:rsidRPr="006D696C">
        <w:rPr>
          <w:b/>
          <w:sz w:val="20"/>
          <w:szCs w:val="20"/>
          <w:lang w:val="x-none" w:eastAsia="x-none"/>
        </w:rPr>
        <w:fldChar w:fldCharType="end"/>
      </w:r>
    </w:p>
    <w:p w14:paraId="29E80270" w14:textId="0546424A" w:rsidR="00AD2CAD" w:rsidRPr="006D696C" w:rsidRDefault="00FA58D1" w:rsidP="00B21192">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_Ref31828132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451134" w:rsidRPr="00451134">
        <w:rPr>
          <w:b/>
          <w:sz w:val="20"/>
          <w:szCs w:val="20"/>
          <w:lang w:val="x-none" w:eastAsia="x-none"/>
        </w:rPr>
        <w:t>Scope 4: Study the method to enhance the utilization of UL slots or symbols before and after measurement gap</w:t>
      </w:r>
      <w:r w:rsidRPr="006D696C">
        <w:rPr>
          <w:b/>
          <w:sz w:val="20"/>
          <w:szCs w:val="20"/>
          <w:lang w:val="x-none" w:eastAsia="x-none"/>
        </w:rPr>
        <w:fldChar w:fldCharType="end"/>
      </w:r>
      <w:r w:rsidR="00820286">
        <w:rPr>
          <w:b/>
          <w:sz w:val="20"/>
          <w:szCs w:val="20"/>
          <w:lang w:val="x-none" w:eastAsia="x-none"/>
        </w:rPr>
        <w:t>.</w:t>
      </w:r>
      <w:r w:rsidR="007C40CD">
        <w:rPr>
          <w:b/>
          <w:sz w:val="20"/>
          <w:szCs w:val="20"/>
          <w:lang w:val="x-none" w:eastAsia="x-none"/>
        </w:rPr>
        <w:t xml:space="preserve"> </w:t>
      </w:r>
    </w:p>
    <w:p w14:paraId="2E96BB97" w14:textId="77777777" w:rsidR="00842EE0" w:rsidRDefault="00842EE0" w:rsidP="008F1284">
      <w:pPr>
        <w:pStyle w:val="1"/>
        <w:numPr>
          <w:ilvl w:val="0"/>
          <w:numId w:val="1"/>
        </w:numPr>
        <w:rPr>
          <w:rFonts w:ascii="Calibri" w:hAnsi="Calibri"/>
        </w:rPr>
      </w:pPr>
      <w:r w:rsidRPr="00842EE0">
        <w:rPr>
          <w:rFonts w:ascii="Calibri" w:hAnsi="Calibri" w:hint="eastAsia"/>
        </w:rPr>
        <w:t>Reference</w:t>
      </w:r>
    </w:p>
    <w:p w14:paraId="7E555717" w14:textId="18DBDF47" w:rsidR="00595AA2" w:rsidRDefault="00595AA2" w:rsidP="00595AA2">
      <w:pPr>
        <w:rPr>
          <w:lang w:val="en-GB" w:eastAsia="en-US"/>
        </w:rPr>
      </w:pPr>
      <w:r>
        <w:rPr>
          <w:lang w:val="en-GB" w:eastAsia="en-US"/>
        </w:rPr>
        <w:t xml:space="preserve">[1] </w:t>
      </w:r>
      <w:r w:rsidRPr="00595AA2">
        <w:rPr>
          <w:lang w:val="en-GB" w:eastAsia="en-US"/>
        </w:rPr>
        <w:t>RP-193211</w:t>
      </w:r>
      <w:r>
        <w:rPr>
          <w:lang w:val="en-GB" w:eastAsia="en-US"/>
        </w:rPr>
        <w:t>, “</w:t>
      </w:r>
      <w:r w:rsidRPr="00595AA2">
        <w:rPr>
          <w:lang w:val="en-GB" w:eastAsia="en-US"/>
        </w:rPr>
        <w:t>Revised WID: NR RRM enhancement in R16</w:t>
      </w:r>
      <w:r>
        <w:rPr>
          <w:lang w:val="en-GB" w:eastAsia="en-US"/>
        </w:rPr>
        <w:t xml:space="preserve">”, </w:t>
      </w:r>
      <w:r w:rsidRPr="00595AA2">
        <w:rPr>
          <w:lang w:val="en-GB" w:eastAsia="en-US"/>
        </w:rPr>
        <w:t>Intel Corporation</w:t>
      </w:r>
    </w:p>
    <w:p w14:paraId="6116392C" w14:textId="77777777" w:rsidR="000744F7" w:rsidRPr="007F5072" w:rsidRDefault="000744F7" w:rsidP="000744F7">
      <w:pPr>
        <w:adjustRightInd w:val="0"/>
        <w:snapToGrid w:val="0"/>
        <w:spacing w:before="180" w:after="120"/>
        <w:jc w:val="both"/>
        <w:rPr>
          <w:b/>
          <w:sz w:val="20"/>
          <w:szCs w:val="20"/>
          <w:lang w:eastAsia="x-none"/>
        </w:rPr>
      </w:pPr>
    </w:p>
    <w:p w14:paraId="2C9C458C" w14:textId="5FB048DB" w:rsidR="000744F7" w:rsidRDefault="000744F7" w:rsidP="000744F7">
      <w:pPr>
        <w:pStyle w:val="1"/>
        <w:numPr>
          <w:ilvl w:val="0"/>
          <w:numId w:val="1"/>
        </w:numPr>
        <w:rPr>
          <w:rFonts w:ascii="Calibri" w:hAnsi="Calibri"/>
        </w:rPr>
      </w:pPr>
      <w:r>
        <w:rPr>
          <w:rFonts w:ascii="Calibri" w:hAnsi="Calibri"/>
        </w:rPr>
        <w:lastRenderedPageBreak/>
        <w:t>Appendix</w:t>
      </w:r>
    </w:p>
    <w:tbl>
      <w:tblPr>
        <w:tblStyle w:val="af4"/>
        <w:tblW w:w="0" w:type="auto"/>
        <w:tblLook w:val="04A0" w:firstRow="1" w:lastRow="0" w:firstColumn="1" w:lastColumn="0" w:noHBand="0" w:noVBand="1"/>
      </w:tblPr>
      <w:tblGrid>
        <w:gridCol w:w="9629"/>
      </w:tblGrid>
      <w:tr w:rsidR="000744F7" w:rsidRPr="00607D5E" w14:paraId="7FDFB5D5" w14:textId="77777777" w:rsidTr="008F6AD9">
        <w:tc>
          <w:tcPr>
            <w:tcW w:w="9629" w:type="dxa"/>
          </w:tcPr>
          <w:p w14:paraId="5EC0146C" w14:textId="77777777" w:rsidR="000744F7" w:rsidRPr="00607D5E" w:rsidRDefault="000744F7" w:rsidP="008F6AD9">
            <w:pPr>
              <w:pStyle w:val="4"/>
              <w:rPr>
                <w:rFonts w:ascii="Times New Roman" w:hAnsi="Times New Roman"/>
                <w:color w:val="000000"/>
                <w:sz w:val="18"/>
              </w:rPr>
            </w:pPr>
            <w:bookmarkStart w:id="8" w:name="_Toc525748124"/>
            <w:r w:rsidRPr="00607D5E">
              <w:rPr>
                <w:rFonts w:ascii="Times New Roman" w:hAnsi="Times New Roman"/>
                <w:color w:val="000000"/>
                <w:sz w:val="18"/>
              </w:rPr>
              <w:t>6.2.1.2</w:t>
            </w:r>
            <w:r w:rsidRPr="00607D5E">
              <w:rPr>
                <w:rFonts w:ascii="Times New Roman" w:hAnsi="Times New Roman"/>
                <w:color w:val="000000"/>
                <w:sz w:val="18"/>
              </w:rPr>
              <w:tab/>
              <w:t>UE sounding procedure for DL CSI acquisition</w:t>
            </w:r>
            <w:bookmarkEnd w:id="8"/>
          </w:p>
          <w:p w14:paraId="09DC4C54"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When the UE is configured with the higher layer parameter </w:t>
            </w:r>
            <w:r w:rsidRPr="00607D5E">
              <w:rPr>
                <w:rFonts w:ascii="Times New Roman" w:hAnsi="Times New Roman" w:cs="Times New Roman"/>
                <w:i/>
                <w:color w:val="000000"/>
                <w:sz w:val="18"/>
              </w:rPr>
              <w:t>usage</w:t>
            </w:r>
            <w:r w:rsidRPr="00607D5E">
              <w:rPr>
                <w:rFonts w:ascii="Times New Roman" w:hAnsi="Times New Roman" w:cs="Times New Roman"/>
                <w:color w:val="000000"/>
                <w:sz w:val="18"/>
              </w:rPr>
              <w:t xml:space="preserve"> in </w:t>
            </w:r>
            <w:r w:rsidRPr="00607D5E">
              <w:rPr>
                <w:rFonts w:ascii="Times New Roman" w:hAnsi="Times New Roman" w:cs="Times New Roman"/>
                <w:i/>
                <w:color w:val="000000"/>
                <w:sz w:val="18"/>
              </w:rPr>
              <w:t xml:space="preserve">SRS-ResourceSet </w:t>
            </w:r>
            <w:r w:rsidRPr="00607D5E">
              <w:rPr>
                <w:rFonts w:ascii="Times New Roman" w:hAnsi="Times New Roman" w:cs="Times New Roman"/>
                <w:color w:val="000000"/>
                <w:sz w:val="18"/>
              </w:rPr>
              <w:t>set as '</w:t>
            </w:r>
            <w:r w:rsidRPr="00607D5E">
              <w:rPr>
                <w:rFonts w:ascii="Times New Roman" w:hAnsi="Times New Roman" w:cs="Times New Roman"/>
                <w:color w:val="000000"/>
                <w:sz w:val="18"/>
                <w:highlight w:val="yellow"/>
              </w:rPr>
              <w:t>antennaSwitching</w:t>
            </w:r>
            <w:r w:rsidRPr="00607D5E">
              <w:rPr>
                <w:rFonts w:ascii="Times New Roman" w:hAnsi="Times New Roman" w:cs="Times New Roman"/>
                <w:color w:val="000000"/>
                <w:sz w:val="18"/>
              </w:rPr>
              <w:t>', the UE may be configured with one of the following configurations depending on the indicated UE capability ('</w:t>
            </w:r>
            <w:r w:rsidRPr="00607D5E">
              <w:rPr>
                <w:rFonts w:ascii="Times New Roman" w:hAnsi="Times New Roman" w:cs="Times New Roman"/>
                <w:sz w:val="18"/>
              </w:rPr>
              <w:t>1T2R', '2T4R', '1T4R', '1T4R/2T4R', or 'T=R'</w:t>
            </w:r>
            <w:r w:rsidRPr="00607D5E">
              <w:rPr>
                <w:rFonts w:ascii="Times New Roman" w:hAnsi="Times New Roman" w:cs="Times New Roman"/>
                <w:color w:val="000000"/>
                <w:sz w:val="18"/>
              </w:rPr>
              <w:t>):</w:t>
            </w:r>
          </w:p>
          <w:p w14:paraId="6368E4DE"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 set has </w:t>
            </w:r>
            <w:r w:rsidRPr="00607D5E">
              <w:rPr>
                <w:rFonts w:ascii="Times New Roman" w:hAnsi="Times New Roman" w:cs="Times New Roman"/>
                <w:sz w:val="18"/>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4A20F4E3"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w:t>
            </w:r>
            <w:r w:rsidRPr="00607D5E">
              <w:rPr>
                <w:rFonts w:ascii="Times New Roman" w:eastAsia="MS Mincho" w:hAnsi="Times New Roman" w:cs="Times New Roman"/>
                <w:iCs/>
                <w:sz w:val="18"/>
                <w:lang w:val="en-US" w:eastAsia="ja-JP"/>
              </w:rPr>
              <w:t xml:space="preserve"> SRS resource set has </w:t>
            </w:r>
            <w:r w:rsidRPr="00607D5E">
              <w:rPr>
                <w:rFonts w:ascii="Times New Roman" w:hAnsi="Times New Roman" w:cs="Times New Roman"/>
                <w:sz w:val="18"/>
              </w:rPr>
              <w:t>two SRS resources transmitted in different symbols, each SRS resource in a given set consisting of two SRS ports, and the SRS port pair of the second resource is associated with a different UE antenna port pair than the SRS port pair of the first resource, or</w:t>
            </w:r>
          </w:p>
          <w:p w14:paraId="6D5F72F1"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t xml:space="preserve">zero or one SRS resource set configured with higher layer parameter </w:t>
            </w:r>
            <w:r w:rsidRPr="00607D5E">
              <w:rPr>
                <w:rFonts w:ascii="Times New Roman" w:eastAsia="MS Mincho" w:hAnsi="Times New Roman" w:cs="Times New Roman"/>
                <w:i/>
                <w:iCs/>
                <w:sz w:val="18"/>
                <w:lang w:val="en-US" w:eastAsia="ja-JP"/>
              </w:rPr>
              <w:t>resourceType</w:t>
            </w:r>
            <w:r w:rsidRPr="00607D5E">
              <w:rPr>
                <w:rFonts w:ascii="Times New Roman" w:eastAsia="MS Mincho" w:hAnsi="Times New Roman" w:cs="Times New Roman"/>
                <w:iCs/>
                <w:sz w:val="18"/>
                <w:lang w:val="en-US" w:eastAsia="ja-JP"/>
              </w:rPr>
              <w:t xml:space="preserve"> 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sz w:val="18"/>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1C97686"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 xml:space="preserve">zero or two SRS resource sets each configured with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w:t>
            </w:r>
            <w:r w:rsidRPr="00607D5E">
              <w:rPr>
                <w:rFonts w:ascii="Times New Roman" w:eastAsia="MS Mincho" w:hAnsi="Times New Roman" w:cs="Times New Roman"/>
                <w:iCs/>
                <w:sz w:val="18"/>
                <w:lang w:val="en-US" w:eastAsia="ja-JP"/>
              </w:rPr>
              <w:t xml:space="preserve">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607D5E">
              <w:rPr>
                <w:rFonts w:ascii="Times New Roman" w:eastAsia="Malgun Gothic" w:hAnsi="Times New Roman" w:cs="Times New Roman"/>
                <w:i/>
                <w:iCs/>
                <w:color w:val="000000" w:themeColor="text1"/>
                <w:sz w:val="18"/>
                <w:lang w:eastAsia="zh-CN"/>
              </w:rPr>
              <w:t>alpha</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p0</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pathlossReferenceRS</w:t>
            </w:r>
            <w:r w:rsidRPr="00607D5E">
              <w:rPr>
                <w:rFonts w:ascii="Times New Roman" w:eastAsia="Malgun Gothic" w:hAnsi="Times New Roman" w:cs="Times New Roman"/>
                <w:iCs/>
                <w:color w:val="000000" w:themeColor="text1"/>
                <w:sz w:val="18"/>
                <w:lang w:eastAsia="zh-CN"/>
              </w:rPr>
              <w:t xml:space="preserve">, and </w:t>
            </w:r>
            <w:r w:rsidRPr="00607D5E">
              <w:rPr>
                <w:rFonts w:ascii="Times New Roman" w:eastAsia="Malgun Gothic" w:hAnsi="Times New Roman" w:cs="Times New Roman"/>
                <w:i/>
                <w:iCs/>
                <w:color w:val="000000" w:themeColor="text1"/>
                <w:sz w:val="18"/>
                <w:lang w:eastAsia="zh-CN"/>
              </w:rPr>
              <w:t xml:space="preserve">srs-PowerControlAdjustmentStates </w:t>
            </w:r>
            <w:r w:rsidRPr="00607D5E">
              <w:rPr>
                <w:rFonts w:ascii="Times New Roman" w:eastAsia="Malgun Gothic" w:hAnsi="Times New Roman" w:cs="Times New Roman"/>
                <w:iCs/>
                <w:color w:val="000000" w:themeColor="text1"/>
                <w:sz w:val="18"/>
                <w:lang w:eastAsia="zh-CN"/>
              </w:rPr>
              <w:t>in</w:t>
            </w:r>
            <w:r w:rsidRPr="00607D5E">
              <w:rPr>
                <w:rFonts w:ascii="Times New Roman" w:eastAsia="Malgun Gothic" w:hAnsi="Times New Roman" w:cs="Times New Roman"/>
                <w:i/>
                <w:iCs/>
                <w:color w:val="000000" w:themeColor="text1"/>
                <w:sz w:val="18"/>
                <w:lang w:eastAsia="zh-CN"/>
              </w:rPr>
              <w:t xml:space="preserve"> SRS-ResourceSet</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Cs/>
                <w:color w:val="000000"/>
                <w:sz w:val="18"/>
                <w:lang w:eastAsia="zh-CN"/>
              </w:rPr>
              <w:t xml:space="preserve">The UE shall expect that the value(s) of the higher layer parameter </w:t>
            </w:r>
            <w:bookmarkStart w:id="9" w:name="_Hlk493885834"/>
            <w:r w:rsidRPr="00607D5E">
              <w:rPr>
                <w:rFonts w:ascii="Times New Roman" w:eastAsia="Malgun Gothic" w:hAnsi="Times New Roman" w:cs="Times New Roman"/>
                <w:i/>
                <w:iCs/>
                <w:color w:val="000000"/>
                <w:sz w:val="18"/>
                <w:lang w:eastAsia="zh-CN"/>
              </w:rPr>
              <w:t>aperiodicSRS-ResourceTrigger</w:t>
            </w:r>
            <w:bookmarkEnd w:id="9"/>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are the same, and the value of the higher layer parameter </w:t>
            </w:r>
            <w:r w:rsidRPr="00607D5E">
              <w:rPr>
                <w:rFonts w:ascii="Times New Roman" w:eastAsia="Malgun Gothic" w:hAnsi="Times New Roman" w:cs="Times New Roman"/>
                <w:i/>
                <w:iCs/>
                <w:color w:val="000000"/>
                <w:sz w:val="18"/>
                <w:lang w:eastAsia="zh-CN"/>
              </w:rPr>
              <w:t>slottOffset</w:t>
            </w:r>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is different. </w:t>
            </w:r>
            <w:r w:rsidRPr="00607D5E">
              <w:rPr>
                <w:rFonts w:ascii="Times New Roman" w:eastAsia="Malgun Gothic" w:hAnsi="Times New Roman" w:cs="Times New Roman"/>
                <w:iCs/>
                <w:color w:val="000000" w:themeColor="text1"/>
                <w:sz w:val="18"/>
                <w:lang w:eastAsia="zh-CN"/>
              </w:rPr>
              <w:t xml:space="preserve">Or, </w:t>
            </w:r>
          </w:p>
          <w:p w14:paraId="28D4A69B"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up to two SRS resource sets each with one SRS resource, where the number of SRS ports for each resource is equal to 1, 2, or 4.</w:t>
            </w:r>
          </w:p>
          <w:p w14:paraId="01085D6F"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The UE is configured with a guard period of Y symbols, in which the UE does not transmit any other signal, in the case the SRS resources of a set are transmitted in the same slot. The guard period is in-between the SRS resources of the set.</w:t>
            </w:r>
          </w:p>
          <w:p w14:paraId="38F51CA1"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If the indicated UE capability is '1T4R/2T4R,' the UE shall expect to be configured with the same number of SRS ports, either one or two, for all SRS resources in the SRS resource set(s).</w:t>
            </w:r>
          </w:p>
          <w:p w14:paraId="2E5813E6"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 xml:space="preserve">If the indicated UE capability is </w:t>
            </w:r>
            <w:r w:rsidRPr="00607D5E">
              <w:rPr>
                <w:rFonts w:ascii="Times New Roman" w:hAnsi="Times New Roman" w:cs="Times New Roman"/>
                <w:sz w:val="18"/>
              </w:rPr>
              <w:t xml:space="preserve">'1T2R', '2T4R', '1T4R', '1T4R/2T4R', the UE shall </w:t>
            </w:r>
            <w:r w:rsidRPr="00607D5E">
              <w:rPr>
                <w:rFonts w:ascii="Times New Roman" w:eastAsia="Batang" w:hAnsi="Times New Roman" w:cs="Times New Roman"/>
                <w:sz w:val="18"/>
                <w:szCs w:val="28"/>
              </w:rPr>
              <w:t>not expect to be configured or triggered with more than one SRS resource set in the same slot. If the indicated UE capability is 'T=R,' the UE shall not expect to be configured or triggered with more than one SRS resource set in the same symbol.</w:t>
            </w:r>
          </w:p>
          <w:p w14:paraId="04002178"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The value of </w:t>
            </w:r>
            <w:r w:rsidRPr="00607D5E">
              <w:rPr>
                <w:rFonts w:ascii="Times New Roman" w:hAnsi="Times New Roman" w:cs="Times New Roman"/>
                <w:i/>
                <w:color w:val="000000"/>
                <w:sz w:val="18"/>
              </w:rPr>
              <w:t>Y</w:t>
            </w:r>
            <w:r w:rsidRPr="00607D5E">
              <w:rPr>
                <w:rFonts w:ascii="Times New Roman" w:hAnsi="Times New Roman" w:cs="Times New Roman"/>
                <w:color w:val="000000"/>
                <w:sz w:val="18"/>
              </w:rPr>
              <w:t xml:space="preserve"> is defined by Table 6.2.1.2-1.</w:t>
            </w:r>
          </w:p>
          <w:p w14:paraId="1410B3F1" w14:textId="77777777" w:rsidR="000744F7" w:rsidRPr="00607D5E" w:rsidRDefault="000744F7" w:rsidP="008F6AD9">
            <w:pPr>
              <w:pStyle w:val="TH"/>
              <w:rPr>
                <w:rFonts w:ascii="Times New Roman" w:hAnsi="Times New Roman" w:cs="Times New Roman"/>
                <w:sz w:val="18"/>
              </w:rPr>
            </w:pPr>
            <w:r w:rsidRPr="00607D5E">
              <w:rPr>
                <w:rFonts w:ascii="Times New Roman" w:hAnsi="Times New Roman" w:cs="Times New Roman"/>
                <w:sz w:val="18"/>
              </w:rPr>
              <w:t xml:space="preserve">Table </w:t>
            </w:r>
            <w:r w:rsidRPr="00607D5E">
              <w:rPr>
                <w:rFonts w:ascii="Times New Roman" w:hAnsi="Times New Roman" w:cs="Times New Roman"/>
                <w:sz w:val="18"/>
                <w:lang w:eastAsia="zh-CN"/>
              </w:rPr>
              <w:t>6</w:t>
            </w:r>
            <w:r w:rsidRPr="00607D5E">
              <w:rPr>
                <w:rFonts w:ascii="Times New Roman" w:hAnsi="Times New Roman" w:cs="Times New Roman"/>
                <w:sz w:val="18"/>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0744F7" w:rsidRPr="00607D5E" w14:paraId="2A645D24" w14:textId="77777777" w:rsidTr="008F6AD9">
              <w:trPr>
                <w:jc w:val="center"/>
              </w:trPr>
              <w:tc>
                <w:tcPr>
                  <w:tcW w:w="1129" w:type="dxa"/>
                  <w:vAlign w:val="center"/>
                </w:tcPr>
                <w:p w14:paraId="5FD3D2A1"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219" w:dyaOrig="239" w14:anchorId="40E34124">
                      <v:shape id="对象 261" o:spid="_x0000_i1026" type="#_x0000_t75" style="width:10.65pt;height:12.5pt;mso-position-horizontal-relative:page;mso-position-vertical-relative:page" o:ole="">
                        <v:imagedata r:id="rId15" o:title=""/>
                      </v:shape>
                      <o:OLEObject Type="Embed" ProgID="Equation.3" ShapeID="对象 261" DrawAspect="Content" ObjectID="_1648034982" r:id="rId16"/>
                    </w:object>
                  </w:r>
                </w:p>
              </w:tc>
              <w:tc>
                <w:tcPr>
                  <w:tcW w:w="1843" w:type="dxa"/>
                  <w:vAlign w:val="center"/>
                </w:tcPr>
                <w:p w14:paraId="5C445F86"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1498" w:dyaOrig="339" w14:anchorId="6946DE03">
                      <v:shape id="对象 262" o:spid="_x0000_i1027" type="#_x0000_t75" style="width:77pt;height:16.9pt;mso-position-horizontal-relative:page;mso-position-vertical-relative:page" o:ole="">
                        <v:imagedata r:id="rId17" o:title=""/>
                      </v:shape>
                      <o:OLEObject Type="Embed" ProgID="Equation.3" ShapeID="对象 262" DrawAspect="Content" ObjectID="_1648034983" r:id="rId18"/>
                    </w:object>
                  </w:r>
                </w:p>
              </w:tc>
              <w:tc>
                <w:tcPr>
                  <w:tcW w:w="1843" w:type="dxa"/>
                  <w:vAlign w:val="center"/>
                </w:tcPr>
                <w:p w14:paraId="46118D3E" w14:textId="77777777" w:rsidR="000744F7" w:rsidRPr="00607D5E" w:rsidRDefault="000744F7" w:rsidP="008F6AD9">
                  <w:pPr>
                    <w:pStyle w:val="TAH"/>
                    <w:spacing w:after="0"/>
                    <w:rPr>
                      <w:rFonts w:ascii="Times New Roman" w:eastAsia="宋体" w:hAnsi="Times New Roman" w:cs="Times New Roman"/>
                      <w:lang w:eastAsia="zh-CN"/>
                    </w:rPr>
                  </w:pPr>
                  <w:r w:rsidRPr="00607D5E">
                    <w:rPr>
                      <w:rFonts w:ascii="Times New Roman" w:eastAsia="宋体" w:hAnsi="Times New Roman" w:cs="Times New Roman"/>
                      <w:i/>
                      <w:lang w:val="en-US" w:eastAsia="zh-CN"/>
                    </w:rPr>
                    <w:t>Y</w:t>
                  </w:r>
                  <w:r w:rsidRPr="00607D5E">
                    <w:rPr>
                      <w:rFonts w:ascii="Times New Roman" w:eastAsia="宋体" w:hAnsi="Times New Roman" w:cs="Times New Roman"/>
                      <w:lang w:val="en-US" w:eastAsia="zh-CN"/>
                    </w:rPr>
                    <w:t xml:space="preserve"> [symbol]</w:t>
                  </w:r>
                </w:p>
              </w:tc>
            </w:tr>
            <w:tr w:rsidR="000744F7" w:rsidRPr="00607D5E" w14:paraId="1C126C85" w14:textId="77777777" w:rsidTr="008F6AD9">
              <w:trPr>
                <w:jc w:val="center"/>
              </w:trPr>
              <w:tc>
                <w:tcPr>
                  <w:tcW w:w="1129" w:type="dxa"/>
                </w:tcPr>
                <w:p w14:paraId="6755EAD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0</w:t>
                  </w:r>
                </w:p>
              </w:tc>
              <w:tc>
                <w:tcPr>
                  <w:tcW w:w="1843" w:type="dxa"/>
                </w:tcPr>
                <w:p w14:paraId="661F463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15</w:t>
                  </w:r>
                </w:p>
              </w:tc>
              <w:tc>
                <w:tcPr>
                  <w:tcW w:w="1843" w:type="dxa"/>
                </w:tcPr>
                <w:p w14:paraId="58D5C5CF" w14:textId="77777777" w:rsidR="000744F7" w:rsidRPr="00607D5E" w:rsidRDefault="000744F7" w:rsidP="008F6AD9">
                  <w:pPr>
                    <w:pStyle w:val="TAC"/>
                    <w:spacing w:after="0"/>
                    <w:rPr>
                      <w:rFonts w:ascii="Times New Roman" w:hAnsi="Times New Roman" w:cs="Times New Roman"/>
                      <w:lang w:eastAsia="zh-CN"/>
                    </w:rPr>
                  </w:pPr>
                  <w:r w:rsidRPr="00607D5E">
                    <w:rPr>
                      <w:rFonts w:ascii="Times New Roman" w:hAnsi="Times New Roman" w:cs="Times New Roman"/>
                      <w:lang w:val="en-US" w:eastAsia="zh-CN"/>
                    </w:rPr>
                    <w:t>1</w:t>
                  </w:r>
                </w:p>
              </w:tc>
            </w:tr>
            <w:tr w:rsidR="000744F7" w:rsidRPr="00607D5E" w14:paraId="352E4285" w14:textId="77777777" w:rsidTr="008F6AD9">
              <w:trPr>
                <w:jc w:val="center"/>
              </w:trPr>
              <w:tc>
                <w:tcPr>
                  <w:tcW w:w="1129" w:type="dxa"/>
                </w:tcPr>
                <w:p w14:paraId="09D9E763"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w:t>
                  </w:r>
                </w:p>
              </w:tc>
              <w:tc>
                <w:tcPr>
                  <w:tcW w:w="1843" w:type="dxa"/>
                </w:tcPr>
                <w:p w14:paraId="078E75DE"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30</w:t>
                  </w:r>
                </w:p>
              </w:tc>
              <w:tc>
                <w:tcPr>
                  <w:tcW w:w="1843" w:type="dxa"/>
                </w:tcPr>
                <w:p w14:paraId="7F4C8243"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54977A4A" w14:textId="77777777" w:rsidTr="008F6AD9">
              <w:trPr>
                <w:jc w:val="center"/>
              </w:trPr>
              <w:tc>
                <w:tcPr>
                  <w:tcW w:w="1129" w:type="dxa"/>
                </w:tcPr>
                <w:p w14:paraId="4ABABDA9"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2</w:t>
                  </w:r>
                </w:p>
              </w:tc>
              <w:tc>
                <w:tcPr>
                  <w:tcW w:w="1843" w:type="dxa"/>
                </w:tcPr>
                <w:p w14:paraId="790AD1F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60</w:t>
                  </w:r>
                </w:p>
              </w:tc>
              <w:tc>
                <w:tcPr>
                  <w:tcW w:w="1843" w:type="dxa"/>
                </w:tcPr>
                <w:p w14:paraId="2F25B4D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0820C2AC" w14:textId="77777777" w:rsidTr="008F6AD9">
              <w:trPr>
                <w:jc w:val="center"/>
              </w:trPr>
              <w:tc>
                <w:tcPr>
                  <w:tcW w:w="1129" w:type="dxa"/>
                </w:tcPr>
                <w:p w14:paraId="523B4F1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w:t>
                  </w:r>
                </w:p>
              </w:tc>
              <w:tc>
                <w:tcPr>
                  <w:tcW w:w="1843" w:type="dxa"/>
                </w:tcPr>
                <w:p w14:paraId="4855CF8A"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120</w:t>
                  </w:r>
                </w:p>
              </w:tc>
              <w:tc>
                <w:tcPr>
                  <w:tcW w:w="1843" w:type="dxa"/>
                </w:tcPr>
                <w:p w14:paraId="1F07C51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2</w:t>
                  </w:r>
                </w:p>
              </w:tc>
            </w:tr>
          </w:tbl>
          <w:p w14:paraId="6BD9069D" w14:textId="77777777" w:rsidR="000744F7" w:rsidRPr="00607D5E" w:rsidRDefault="000744F7" w:rsidP="008F6AD9">
            <w:pPr>
              <w:rPr>
                <w:rFonts w:ascii="Times New Roman" w:hAnsi="Times New Roman" w:cs="Times New Roman"/>
                <w:sz w:val="18"/>
                <w:lang w:val="en-GB" w:eastAsia="en-US"/>
              </w:rPr>
            </w:pPr>
          </w:p>
        </w:tc>
      </w:tr>
    </w:tbl>
    <w:p w14:paraId="607D4595" w14:textId="77777777" w:rsidR="000744F7" w:rsidRPr="00595AA2" w:rsidRDefault="000744F7" w:rsidP="00595AA2">
      <w:pPr>
        <w:rPr>
          <w:lang w:val="en-GB" w:eastAsia="en-US"/>
        </w:rPr>
      </w:pPr>
    </w:p>
    <w:sectPr w:rsidR="000744F7" w:rsidRPr="00595AA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02417" w14:textId="77777777" w:rsidR="004C5B88" w:rsidRDefault="004C5B88">
      <w:r>
        <w:separator/>
      </w:r>
    </w:p>
  </w:endnote>
  <w:endnote w:type="continuationSeparator" w:id="0">
    <w:p w14:paraId="0D401D29" w14:textId="77777777" w:rsidR="004C5B88" w:rsidRDefault="004C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E0425" w14:textId="77777777" w:rsidR="004C5B88" w:rsidRDefault="004C5B88">
      <w:r>
        <w:separator/>
      </w:r>
    </w:p>
  </w:footnote>
  <w:footnote w:type="continuationSeparator" w:id="0">
    <w:p w14:paraId="303FE903" w14:textId="77777777" w:rsidR="004C5B88" w:rsidRDefault="004C5B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宋体"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C327F"/>
    <w:multiLevelType w:val="hybridMultilevel"/>
    <w:tmpl w:val="C3E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104DB"/>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96D2A"/>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2A588A"/>
    <w:multiLevelType w:val="hybridMultilevel"/>
    <w:tmpl w:val="2A765E0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9C72BE"/>
    <w:multiLevelType w:val="hybridMultilevel"/>
    <w:tmpl w:val="56E2AC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253BD9"/>
    <w:multiLevelType w:val="hybridMultilevel"/>
    <w:tmpl w:val="82987F92"/>
    <w:lvl w:ilvl="0" w:tplc="807C86A8">
      <w:start w:val="1"/>
      <w:numFmt w:val="bullet"/>
      <w:lvlText w:val="•"/>
      <w:lvlJc w:val="left"/>
      <w:pPr>
        <w:tabs>
          <w:tab w:val="num" w:pos="720"/>
        </w:tabs>
        <w:ind w:left="720" w:hanging="360"/>
      </w:pPr>
      <w:rPr>
        <w:rFonts w:ascii="Arial" w:hAnsi="Arial" w:hint="default"/>
      </w:rPr>
    </w:lvl>
    <w:lvl w:ilvl="1" w:tplc="4D88D18A">
      <w:start w:val="1"/>
      <w:numFmt w:val="bullet"/>
      <w:lvlText w:val="•"/>
      <w:lvlJc w:val="left"/>
      <w:pPr>
        <w:tabs>
          <w:tab w:val="num" w:pos="1440"/>
        </w:tabs>
        <w:ind w:left="1440" w:hanging="360"/>
      </w:pPr>
      <w:rPr>
        <w:rFonts w:ascii="Arial" w:hAnsi="Arial" w:hint="default"/>
      </w:rPr>
    </w:lvl>
    <w:lvl w:ilvl="2" w:tplc="4C5E2DE6">
      <w:numFmt w:val="bullet"/>
      <w:lvlText w:val="•"/>
      <w:lvlJc w:val="left"/>
      <w:pPr>
        <w:tabs>
          <w:tab w:val="num" w:pos="2160"/>
        </w:tabs>
        <w:ind w:left="2160" w:hanging="360"/>
      </w:pPr>
      <w:rPr>
        <w:rFonts w:ascii="Arial" w:hAnsi="Arial" w:hint="default"/>
      </w:rPr>
    </w:lvl>
    <w:lvl w:ilvl="3" w:tplc="2DB26114" w:tentative="1">
      <w:start w:val="1"/>
      <w:numFmt w:val="bullet"/>
      <w:lvlText w:val="•"/>
      <w:lvlJc w:val="left"/>
      <w:pPr>
        <w:tabs>
          <w:tab w:val="num" w:pos="2880"/>
        </w:tabs>
        <w:ind w:left="2880" w:hanging="360"/>
      </w:pPr>
      <w:rPr>
        <w:rFonts w:ascii="Arial" w:hAnsi="Arial" w:hint="default"/>
      </w:rPr>
    </w:lvl>
    <w:lvl w:ilvl="4" w:tplc="A062506C" w:tentative="1">
      <w:start w:val="1"/>
      <w:numFmt w:val="bullet"/>
      <w:lvlText w:val="•"/>
      <w:lvlJc w:val="left"/>
      <w:pPr>
        <w:tabs>
          <w:tab w:val="num" w:pos="3600"/>
        </w:tabs>
        <w:ind w:left="3600" w:hanging="360"/>
      </w:pPr>
      <w:rPr>
        <w:rFonts w:ascii="Arial" w:hAnsi="Arial" w:hint="default"/>
      </w:rPr>
    </w:lvl>
    <w:lvl w:ilvl="5" w:tplc="D0F86D6A" w:tentative="1">
      <w:start w:val="1"/>
      <w:numFmt w:val="bullet"/>
      <w:lvlText w:val="•"/>
      <w:lvlJc w:val="left"/>
      <w:pPr>
        <w:tabs>
          <w:tab w:val="num" w:pos="4320"/>
        </w:tabs>
        <w:ind w:left="4320" w:hanging="360"/>
      </w:pPr>
      <w:rPr>
        <w:rFonts w:ascii="Arial" w:hAnsi="Arial" w:hint="default"/>
      </w:rPr>
    </w:lvl>
    <w:lvl w:ilvl="6" w:tplc="E8FCAA4C" w:tentative="1">
      <w:start w:val="1"/>
      <w:numFmt w:val="bullet"/>
      <w:lvlText w:val="•"/>
      <w:lvlJc w:val="left"/>
      <w:pPr>
        <w:tabs>
          <w:tab w:val="num" w:pos="5040"/>
        </w:tabs>
        <w:ind w:left="5040" w:hanging="360"/>
      </w:pPr>
      <w:rPr>
        <w:rFonts w:ascii="Arial" w:hAnsi="Arial" w:hint="default"/>
      </w:rPr>
    </w:lvl>
    <w:lvl w:ilvl="7" w:tplc="BDD08D00" w:tentative="1">
      <w:start w:val="1"/>
      <w:numFmt w:val="bullet"/>
      <w:lvlText w:val="•"/>
      <w:lvlJc w:val="left"/>
      <w:pPr>
        <w:tabs>
          <w:tab w:val="num" w:pos="5760"/>
        </w:tabs>
        <w:ind w:left="5760" w:hanging="360"/>
      </w:pPr>
      <w:rPr>
        <w:rFonts w:ascii="Arial" w:hAnsi="Arial" w:hint="default"/>
      </w:rPr>
    </w:lvl>
    <w:lvl w:ilvl="8" w:tplc="B0E4C2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4" w15:restartNumberingAfterBreak="0">
    <w:nsid w:val="60F3166E"/>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8F07FC"/>
    <w:multiLevelType w:val="hybridMultilevel"/>
    <w:tmpl w:val="15ACD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16268"/>
    <w:multiLevelType w:val="hybridMultilevel"/>
    <w:tmpl w:val="F70A05CC"/>
    <w:lvl w:ilvl="0" w:tplc="CF36E318">
      <w:start w:val="1"/>
      <w:numFmt w:val="bullet"/>
      <w:lvlText w:val="–"/>
      <w:lvlJc w:val="left"/>
      <w:pPr>
        <w:tabs>
          <w:tab w:val="num" w:pos="720"/>
        </w:tabs>
        <w:ind w:left="720" w:hanging="360"/>
      </w:pPr>
      <w:rPr>
        <w:rFonts w:ascii="Arial" w:hAnsi="Arial" w:hint="default"/>
      </w:rPr>
    </w:lvl>
    <w:lvl w:ilvl="1" w:tplc="AB1852D0" w:tentative="1">
      <w:start w:val="1"/>
      <w:numFmt w:val="bullet"/>
      <w:lvlText w:val="–"/>
      <w:lvlJc w:val="left"/>
      <w:pPr>
        <w:tabs>
          <w:tab w:val="num" w:pos="1440"/>
        </w:tabs>
        <w:ind w:left="1440" w:hanging="360"/>
      </w:pPr>
      <w:rPr>
        <w:rFonts w:ascii="Arial" w:hAnsi="Arial" w:hint="default"/>
      </w:rPr>
    </w:lvl>
    <w:lvl w:ilvl="2" w:tplc="5CA8212A" w:tentative="1">
      <w:start w:val="1"/>
      <w:numFmt w:val="bullet"/>
      <w:lvlText w:val="–"/>
      <w:lvlJc w:val="left"/>
      <w:pPr>
        <w:tabs>
          <w:tab w:val="num" w:pos="2160"/>
        </w:tabs>
        <w:ind w:left="2160" w:hanging="360"/>
      </w:pPr>
      <w:rPr>
        <w:rFonts w:ascii="Arial" w:hAnsi="Arial" w:hint="default"/>
      </w:rPr>
    </w:lvl>
    <w:lvl w:ilvl="3" w:tplc="8BDA8EFA">
      <w:start w:val="1"/>
      <w:numFmt w:val="bullet"/>
      <w:lvlText w:val="–"/>
      <w:lvlJc w:val="left"/>
      <w:pPr>
        <w:tabs>
          <w:tab w:val="num" w:pos="2880"/>
        </w:tabs>
        <w:ind w:left="2880" w:hanging="360"/>
      </w:pPr>
      <w:rPr>
        <w:rFonts w:ascii="Arial" w:hAnsi="Arial" w:hint="default"/>
      </w:rPr>
    </w:lvl>
    <w:lvl w:ilvl="4" w:tplc="74508B4E" w:tentative="1">
      <w:start w:val="1"/>
      <w:numFmt w:val="bullet"/>
      <w:lvlText w:val="–"/>
      <w:lvlJc w:val="left"/>
      <w:pPr>
        <w:tabs>
          <w:tab w:val="num" w:pos="3600"/>
        </w:tabs>
        <w:ind w:left="3600" w:hanging="360"/>
      </w:pPr>
      <w:rPr>
        <w:rFonts w:ascii="Arial" w:hAnsi="Arial" w:hint="default"/>
      </w:rPr>
    </w:lvl>
    <w:lvl w:ilvl="5" w:tplc="CAE2FF5C" w:tentative="1">
      <w:start w:val="1"/>
      <w:numFmt w:val="bullet"/>
      <w:lvlText w:val="–"/>
      <w:lvlJc w:val="left"/>
      <w:pPr>
        <w:tabs>
          <w:tab w:val="num" w:pos="4320"/>
        </w:tabs>
        <w:ind w:left="4320" w:hanging="360"/>
      </w:pPr>
      <w:rPr>
        <w:rFonts w:ascii="Arial" w:hAnsi="Arial" w:hint="default"/>
      </w:rPr>
    </w:lvl>
    <w:lvl w:ilvl="6" w:tplc="30B26CEA" w:tentative="1">
      <w:start w:val="1"/>
      <w:numFmt w:val="bullet"/>
      <w:lvlText w:val="–"/>
      <w:lvlJc w:val="left"/>
      <w:pPr>
        <w:tabs>
          <w:tab w:val="num" w:pos="5040"/>
        </w:tabs>
        <w:ind w:left="5040" w:hanging="360"/>
      </w:pPr>
      <w:rPr>
        <w:rFonts w:ascii="Arial" w:hAnsi="Arial" w:hint="default"/>
      </w:rPr>
    </w:lvl>
    <w:lvl w:ilvl="7" w:tplc="A880AEFC" w:tentative="1">
      <w:start w:val="1"/>
      <w:numFmt w:val="bullet"/>
      <w:lvlText w:val="–"/>
      <w:lvlJc w:val="left"/>
      <w:pPr>
        <w:tabs>
          <w:tab w:val="num" w:pos="5760"/>
        </w:tabs>
        <w:ind w:left="5760" w:hanging="360"/>
      </w:pPr>
      <w:rPr>
        <w:rFonts w:ascii="Arial" w:hAnsi="Arial" w:hint="default"/>
      </w:rPr>
    </w:lvl>
    <w:lvl w:ilvl="8" w:tplc="8668AA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3"/>
  </w:num>
  <w:num w:numId="4">
    <w:abstractNumId w:val="2"/>
  </w:num>
  <w:num w:numId="5">
    <w:abstractNumId w:val="11"/>
  </w:num>
  <w:num w:numId="6">
    <w:abstractNumId w:val="22"/>
  </w:num>
  <w:num w:numId="7">
    <w:abstractNumId w:val="17"/>
  </w:num>
  <w:num w:numId="8">
    <w:abstractNumId w:val="28"/>
  </w:num>
  <w:num w:numId="9">
    <w:abstractNumId w:val="20"/>
  </w:num>
  <w:num w:numId="10">
    <w:abstractNumId w:val="1"/>
  </w:num>
  <w:num w:numId="11">
    <w:abstractNumId w:val="6"/>
  </w:num>
  <w:num w:numId="12">
    <w:abstractNumId w:val="23"/>
  </w:num>
  <w:num w:numId="13">
    <w:abstractNumId w:val="19"/>
  </w:num>
  <w:num w:numId="14">
    <w:abstractNumId w:val="5"/>
  </w:num>
  <w:num w:numId="15">
    <w:abstractNumId w:val="8"/>
  </w:num>
  <w:num w:numId="16">
    <w:abstractNumId w:val="21"/>
  </w:num>
  <w:num w:numId="17">
    <w:abstractNumId w:val="12"/>
  </w:num>
  <w:num w:numId="18">
    <w:abstractNumId w:val="7"/>
  </w:num>
  <w:num w:numId="19">
    <w:abstractNumId w:val="13"/>
  </w:num>
  <w:num w:numId="20">
    <w:abstractNumId w:val="0"/>
  </w:num>
  <w:num w:numId="21">
    <w:abstractNumId w:val="10"/>
  </w:num>
  <w:num w:numId="22">
    <w:abstractNumId w:val="15"/>
  </w:num>
  <w:num w:numId="23">
    <w:abstractNumId w:val="9"/>
  </w:num>
  <w:num w:numId="24">
    <w:abstractNumId w:val="24"/>
  </w:num>
  <w:num w:numId="25">
    <w:abstractNumId w:val="18"/>
  </w:num>
  <w:num w:numId="26">
    <w:abstractNumId w:val="16"/>
  </w:num>
  <w:num w:numId="27">
    <w:abstractNumId w:val="4"/>
  </w:num>
  <w:num w:numId="28">
    <w:abstractNumId w:val="26"/>
  </w:num>
  <w:num w:numId="29">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AD4"/>
    <w:rsid w:val="00013D89"/>
    <w:rsid w:val="00013F4A"/>
    <w:rsid w:val="000141ED"/>
    <w:rsid w:val="00014715"/>
    <w:rsid w:val="00014E8B"/>
    <w:rsid w:val="0001535F"/>
    <w:rsid w:val="0001556B"/>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1CA"/>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4F7"/>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1B4"/>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BF6"/>
    <w:rsid w:val="000C3D8B"/>
    <w:rsid w:val="000C3DBB"/>
    <w:rsid w:val="000C4109"/>
    <w:rsid w:val="000C45FD"/>
    <w:rsid w:val="000C513B"/>
    <w:rsid w:val="000C53A6"/>
    <w:rsid w:val="000C5A02"/>
    <w:rsid w:val="000C612B"/>
    <w:rsid w:val="000C6216"/>
    <w:rsid w:val="000C621D"/>
    <w:rsid w:val="000C658B"/>
    <w:rsid w:val="000C662C"/>
    <w:rsid w:val="000C67B3"/>
    <w:rsid w:val="000C6987"/>
    <w:rsid w:val="000C6E02"/>
    <w:rsid w:val="000C717A"/>
    <w:rsid w:val="000C71D2"/>
    <w:rsid w:val="000C772F"/>
    <w:rsid w:val="000D0027"/>
    <w:rsid w:val="000D0335"/>
    <w:rsid w:val="000D08C9"/>
    <w:rsid w:val="000D1281"/>
    <w:rsid w:val="000D1577"/>
    <w:rsid w:val="000D2B90"/>
    <w:rsid w:val="000D327D"/>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836"/>
    <w:rsid w:val="00100AE8"/>
    <w:rsid w:val="0010118D"/>
    <w:rsid w:val="0010129E"/>
    <w:rsid w:val="001012B9"/>
    <w:rsid w:val="001013EB"/>
    <w:rsid w:val="00101475"/>
    <w:rsid w:val="001014C7"/>
    <w:rsid w:val="00101AAD"/>
    <w:rsid w:val="0010283F"/>
    <w:rsid w:val="00102895"/>
    <w:rsid w:val="0010294F"/>
    <w:rsid w:val="001029DA"/>
    <w:rsid w:val="00102A61"/>
    <w:rsid w:val="00103E62"/>
    <w:rsid w:val="00104279"/>
    <w:rsid w:val="00104623"/>
    <w:rsid w:val="00105358"/>
    <w:rsid w:val="0010573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2F5"/>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43"/>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314"/>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0F"/>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921"/>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85F"/>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B5E"/>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DF3"/>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6A4"/>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AE4"/>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EF6"/>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33F"/>
    <w:rsid w:val="00376644"/>
    <w:rsid w:val="0037724B"/>
    <w:rsid w:val="00377383"/>
    <w:rsid w:val="0037748F"/>
    <w:rsid w:val="0037751C"/>
    <w:rsid w:val="00377EFD"/>
    <w:rsid w:val="0038006B"/>
    <w:rsid w:val="0038049F"/>
    <w:rsid w:val="00380C9F"/>
    <w:rsid w:val="0038126D"/>
    <w:rsid w:val="00382BF6"/>
    <w:rsid w:val="00383AF2"/>
    <w:rsid w:val="00384039"/>
    <w:rsid w:val="00384091"/>
    <w:rsid w:val="00384126"/>
    <w:rsid w:val="0038483B"/>
    <w:rsid w:val="00384D39"/>
    <w:rsid w:val="00384F0A"/>
    <w:rsid w:val="003850E6"/>
    <w:rsid w:val="003864BB"/>
    <w:rsid w:val="0038671F"/>
    <w:rsid w:val="00386816"/>
    <w:rsid w:val="00386E68"/>
    <w:rsid w:val="00387238"/>
    <w:rsid w:val="00387496"/>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3FD3"/>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6FEF"/>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773"/>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134"/>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BC5"/>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7BA"/>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B88"/>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5DE"/>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0A8D"/>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3"/>
    <w:rsid w:val="005876BD"/>
    <w:rsid w:val="005879EE"/>
    <w:rsid w:val="00590081"/>
    <w:rsid w:val="00590918"/>
    <w:rsid w:val="00591F58"/>
    <w:rsid w:val="00592244"/>
    <w:rsid w:val="005922B0"/>
    <w:rsid w:val="005927F5"/>
    <w:rsid w:val="00592805"/>
    <w:rsid w:val="00593C8C"/>
    <w:rsid w:val="0059429E"/>
    <w:rsid w:val="00594823"/>
    <w:rsid w:val="00595578"/>
    <w:rsid w:val="00595AA2"/>
    <w:rsid w:val="005961CA"/>
    <w:rsid w:val="00596310"/>
    <w:rsid w:val="0059694C"/>
    <w:rsid w:val="00596A67"/>
    <w:rsid w:val="00596C6D"/>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98B"/>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5D"/>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84A"/>
    <w:rsid w:val="00605F1E"/>
    <w:rsid w:val="006064DC"/>
    <w:rsid w:val="00606789"/>
    <w:rsid w:val="00606F43"/>
    <w:rsid w:val="006073F2"/>
    <w:rsid w:val="00607707"/>
    <w:rsid w:val="0060799E"/>
    <w:rsid w:val="00607C36"/>
    <w:rsid w:val="00607CDE"/>
    <w:rsid w:val="00607D5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09C"/>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9E"/>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0CF7"/>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2A5"/>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A64"/>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96C"/>
    <w:rsid w:val="006D6A81"/>
    <w:rsid w:val="006D7389"/>
    <w:rsid w:val="006D7657"/>
    <w:rsid w:val="006D7836"/>
    <w:rsid w:val="006D7CD4"/>
    <w:rsid w:val="006D7E54"/>
    <w:rsid w:val="006E0777"/>
    <w:rsid w:val="006E0F1A"/>
    <w:rsid w:val="006E0FDA"/>
    <w:rsid w:val="006E1331"/>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C22"/>
    <w:rsid w:val="0071627F"/>
    <w:rsid w:val="00716E8B"/>
    <w:rsid w:val="00716EDB"/>
    <w:rsid w:val="0071705B"/>
    <w:rsid w:val="007178FF"/>
    <w:rsid w:val="00717978"/>
    <w:rsid w:val="0072002C"/>
    <w:rsid w:val="007203EA"/>
    <w:rsid w:val="00720432"/>
    <w:rsid w:val="00720819"/>
    <w:rsid w:val="00720ACA"/>
    <w:rsid w:val="00720B30"/>
    <w:rsid w:val="00720FDF"/>
    <w:rsid w:val="00721350"/>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0FD0"/>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2DC5"/>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73E"/>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0CD"/>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823"/>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0BB5"/>
    <w:rsid w:val="007E149C"/>
    <w:rsid w:val="007E1653"/>
    <w:rsid w:val="007E2344"/>
    <w:rsid w:val="007E262B"/>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2DEE"/>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286"/>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6F7"/>
    <w:rsid w:val="00844DB9"/>
    <w:rsid w:val="00845BD9"/>
    <w:rsid w:val="00845F05"/>
    <w:rsid w:val="00846943"/>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6B2"/>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1F5"/>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4EA7"/>
    <w:rsid w:val="008F529C"/>
    <w:rsid w:val="008F52A9"/>
    <w:rsid w:val="008F5893"/>
    <w:rsid w:val="008F68E4"/>
    <w:rsid w:val="008F69D1"/>
    <w:rsid w:val="008F71CF"/>
    <w:rsid w:val="008F7BBB"/>
    <w:rsid w:val="009005A8"/>
    <w:rsid w:val="00900708"/>
    <w:rsid w:val="00900FD6"/>
    <w:rsid w:val="009010A1"/>
    <w:rsid w:val="0090134E"/>
    <w:rsid w:val="009013EF"/>
    <w:rsid w:val="0090157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761"/>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0E0E"/>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0E2E"/>
    <w:rsid w:val="0098115F"/>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08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6EF"/>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58"/>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26F"/>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7A8"/>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2CAD"/>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977"/>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5C1"/>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868"/>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79C"/>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104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B6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0609"/>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D2A"/>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8B8"/>
    <w:rsid w:val="00C319CF"/>
    <w:rsid w:val="00C31BA6"/>
    <w:rsid w:val="00C3257A"/>
    <w:rsid w:val="00C32B36"/>
    <w:rsid w:val="00C33939"/>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A1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24"/>
    <w:rsid w:val="00CA1A53"/>
    <w:rsid w:val="00CA270E"/>
    <w:rsid w:val="00CA2D32"/>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E8B"/>
    <w:rsid w:val="00CC55CE"/>
    <w:rsid w:val="00CC5D0C"/>
    <w:rsid w:val="00CC5E1E"/>
    <w:rsid w:val="00CC65C0"/>
    <w:rsid w:val="00CC71BF"/>
    <w:rsid w:val="00CC732E"/>
    <w:rsid w:val="00CC746E"/>
    <w:rsid w:val="00CD066C"/>
    <w:rsid w:val="00CD0971"/>
    <w:rsid w:val="00CD0A0B"/>
    <w:rsid w:val="00CD0CDB"/>
    <w:rsid w:val="00CD0D8A"/>
    <w:rsid w:val="00CD105A"/>
    <w:rsid w:val="00CD13A7"/>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10D"/>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6419"/>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871"/>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651"/>
    <w:rsid w:val="00DF0AC6"/>
    <w:rsid w:val="00DF0F31"/>
    <w:rsid w:val="00DF146E"/>
    <w:rsid w:val="00DF15B6"/>
    <w:rsid w:val="00DF1791"/>
    <w:rsid w:val="00DF3DD5"/>
    <w:rsid w:val="00DF42F3"/>
    <w:rsid w:val="00DF4F9B"/>
    <w:rsid w:val="00DF574A"/>
    <w:rsid w:val="00DF62B6"/>
    <w:rsid w:val="00DF63EF"/>
    <w:rsid w:val="00DF6717"/>
    <w:rsid w:val="00DF67D6"/>
    <w:rsid w:val="00DF7649"/>
    <w:rsid w:val="00DF76D5"/>
    <w:rsid w:val="00DF782F"/>
    <w:rsid w:val="00E00405"/>
    <w:rsid w:val="00E01398"/>
    <w:rsid w:val="00E013DA"/>
    <w:rsid w:val="00E013EA"/>
    <w:rsid w:val="00E01820"/>
    <w:rsid w:val="00E022F5"/>
    <w:rsid w:val="00E023FC"/>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2BC"/>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3C3"/>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17F5"/>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47FDC"/>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2C9"/>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A14"/>
    <w:rsid w:val="00E85C2C"/>
    <w:rsid w:val="00E85D04"/>
    <w:rsid w:val="00E861C8"/>
    <w:rsid w:val="00E8659C"/>
    <w:rsid w:val="00E871D6"/>
    <w:rsid w:val="00E87572"/>
    <w:rsid w:val="00E9088E"/>
    <w:rsid w:val="00E9244C"/>
    <w:rsid w:val="00E92758"/>
    <w:rsid w:val="00E92861"/>
    <w:rsid w:val="00E92B4D"/>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4C8"/>
    <w:rsid w:val="00EA094F"/>
    <w:rsid w:val="00EA1525"/>
    <w:rsid w:val="00EA1B17"/>
    <w:rsid w:val="00EA1B9C"/>
    <w:rsid w:val="00EA1C54"/>
    <w:rsid w:val="00EA1D43"/>
    <w:rsid w:val="00EA1FE7"/>
    <w:rsid w:val="00EA3370"/>
    <w:rsid w:val="00EA34B3"/>
    <w:rsid w:val="00EA4086"/>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15B"/>
    <w:rsid w:val="00EB42E0"/>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2ED"/>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294"/>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A45"/>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84"/>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2C2"/>
    <w:rsid w:val="00F645F7"/>
    <w:rsid w:val="00F64889"/>
    <w:rsid w:val="00F64FF0"/>
    <w:rsid w:val="00F65149"/>
    <w:rsid w:val="00F65194"/>
    <w:rsid w:val="00F6553E"/>
    <w:rsid w:val="00F65631"/>
    <w:rsid w:val="00F658A1"/>
    <w:rsid w:val="00F65FFC"/>
    <w:rsid w:val="00F660BC"/>
    <w:rsid w:val="00F669B1"/>
    <w:rsid w:val="00F66AE0"/>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09F"/>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8D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1A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894"/>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A14"/>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85A1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85A1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60962">
      <w:bodyDiv w:val="1"/>
      <w:marLeft w:val="0"/>
      <w:marRight w:val="0"/>
      <w:marTop w:val="0"/>
      <w:marBottom w:val="0"/>
      <w:divBdr>
        <w:top w:val="none" w:sz="0" w:space="0" w:color="auto"/>
        <w:left w:val="none" w:sz="0" w:space="0" w:color="auto"/>
        <w:bottom w:val="none" w:sz="0" w:space="0" w:color="auto"/>
        <w:right w:val="none" w:sz="0" w:space="0" w:color="auto"/>
      </w:divBdr>
      <w:divsChild>
        <w:div w:id="481890080">
          <w:marLeft w:val="1166"/>
          <w:marRight w:val="0"/>
          <w:marTop w:val="96"/>
          <w:marBottom w:val="0"/>
          <w:divBdr>
            <w:top w:val="none" w:sz="0" w:space="0" w:color="auto"/>
            <w:left w:val="none" w:sz="0" w:space="0" w:color="auto"/>
            <w:bottom w:val="none" w:sz="0" w:space="0" w:color="auto"/>
            <w:right w:val="none" w:sz="0" w:space="0" w:color="auto"/>
          </w:divBdr>
        </w:div>
        <w:div w:id="127822410">
          <w:marLeft w:val="1800"/>
          <w:marRight w:val="0"/>
          <w:marTop w:val="96"/>
          <w:marBottom w:val="0"/>
          <w:divBdr>
            <w:top w:val="none" w:sz="0" w:space="0" w:color="auto"/>
            <w:left w:val="none" w:sz="0" w:space="0" w:color="auto"/>
            <w:bottom w:val="none" w:sz="0" w:space="0" w:color="auto"/>
            <w:right w:val="none" w:sz="0" w:space="0" w:color="auto"/>
          </w:divBdr>
        </w:div>
        <w:div w:id="965427425">
          <w:marLeft w:val="1800"/>
          <w:marRight w:val="0"/>
          <w:marTop w:val="96"/>
          <w:marBottom w:val="0"/>
          <w:divBdr>
            <w:top w:val="none" w:sz="0" w:space="0" w:color="auto"/>
            <w:left w:val="none" w:sz="0" w:space="0" w:color="auto"/>
            <w:bottom w:val="none" w:sz="0" w:space="0" w:color="auto"/>
            <w:right w:val="none" w:sz="0" w:space="0" w:color="auto"/>
          </w:divBdr>
        </w:div>
        <w:div w:id="549924444">
          <w:marLeft w:val="1166"/>
          <w:marRight w:val="0"/>
          <w:marTop w:val="96"/>
          <w:marBottom w:val="0"/>
          <w:divBdr>
            <w:top w:val="none" w:sz="0" w:space="0" w:color="auto"/>
            <w:left w:val="none" w:sz="0" w:space="0" w:color="auto"/>
            <w:bottom w:val="none" w:sz="0" w:space="0" w:color="auto"/>
            <w:right w:val="none" w:sz="0" w:space="0" w:color="auto"/>
          </w:divBdr>
        </w:div>
        <w:div w:id="614412887">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3732797">
      <w:bodyDiv w:val="1"/>
      <w:marLeft w:val="0"/>
      <w:marRight w:val="0"/>
      <w:marTop w:val="0"/>
      <w:marBottom w:val="0"/>
      <w:divBdr>
        <w:top w:val="none" w:sz="0" w:space="0" w:color="auto"/>
        <w:left w:val="none" w:sz="0" w:space="0" w:color="auto"/>
        <w:bottom w:val="none" w:sz="0" w:space="0" w:color="auto"/>
        <w:right w:val="none" w:sz="0" w:space="0" w:color="auto"/>
      </w:divBdr>
      <w:divsChild>
        <w:div w:id="245310721">
          <w:marLeft w:val="2520"/>
          <w:marRight w:val="0"/>
          <w:marTop w:val="8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088115">
      <w:bodyDiv w:val="1"/>
      <w:marLeft w:val="0"/>
      <w:marRight w:val="0"/>
      <w:marTop w:val="0"/>
      <w:marBottom w:val="0"/>
      <w:divBdr>
        <w:top w:val="none" w:sz="0" w:space="0" w:color="auto"/>
        <w:left w:val="none" w:sz="0" w:space="0" w:color="auto"/>
        <w:bottom w:val="none" w:sz="0" w:space="0" w:color="auto"/>
        <w:right w:val="none" w:sz="0" w:space="0" w:color="auto"/>
      </w:divBdr>
      <w:divsChild>
        <w:div w:id="125589906">
          <w:marLeft w:val="1166"/>
          <w:marRight w:val="0"/>
          <w:marTop w:val="9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A317C-B381-440C-9C8B-696391D01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2582</Words>
  <Characters>14721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2020-04-09T10:28:00Z</dcterms:created>
  <dcterms:modified xsi:type="dcterms:W3CDTF">2020-04-10T06:43:00Z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